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96F3" w14:textId="1E89E2C7" w:rsidR="00E6085A" w:rsidRPr="00E6085A" w:rsidRDefault="00E6085A"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r w:rsidRPr="00E6085A">
        <w:rPr>
          <w:rFonts w:ascii="Times New Roman" w:eastAsia="Calibri" w:hAnsi="Times New Roman" w:cs="Times New Roman"/>
          <w:b/>
          <w:bCs/>
          <w:sz w:val="24"/>
          <w:szCs w:val="24"/>
        </w:rPr>
        <w:t xml:space="preserve">Descrizione degli obiettivi del progetto di ricerca </w:t>
      </w:r>
    </w:p>
    <w:p w14:paraId="204E4AFA" w14:textId="77777777" w:rsidR="00E6085A" w:rsidRDefault="00E6085A" w:rsidP="003E097A">
      <w:pPr>
        <w:tabs>
          <w:tab w:val="left" w:pos="238"/>
        </w:tabs>
        <w:autoSpaceDE w:val="0"/>
        <w:autoSpaceDN w:val="0"/>
        <w:adjustRightInd w:val="0"/>
        <w:spacing w:after="0" w:line="240" w:lineRule="auto"/>
        <w:ind w:firstLine="709"/>
        <w:rPr>
          <w:rFonts w:ascii="Times New Roman" w:eastAsia="Calibri" w:hAnsi="Times New Roman" w:cs="Times New Roman"/>
          <w:sz w:val="24"/>
          <w:szCs w:val="24"/>
        </w:rPr>
      </w:pPr>
    </w:p>
    <w:p w14:paraId="014114FA" w14:textId="77777777" w:rsidR="00F34277" w:rsidRDefault="00DC4AE4" w:rsidP="003E097A">
      <w:pPr>
        <w:tabs>
          <w:tab w:val="left" w:pos="238"/>
        </w:tabs>
        <w:autoSpaceDE w:val="0"/>
        <w:autoSpaceDN w:val="0"/>
        <w:adjustRightInd w:val="0"/>
        <w:spacing w:after="0" w:line="240" w:lineRule="auto"/>
        <w:ind w:firstLine="709"/>
        <w:rPr>
          <w:rFonts w:ascii="Times New Roman" w:eastAsia="Calibri" w:hAnsi="Times New Roman" w:cs="Times New Roman"/>
          <w:sz w:val="24"/>
          <w:szCs w:val="24"/>
        </w:rPr>
      </w:pPr>
      <w:r w:rsidRPr="00DC4AE4">
        <w:rPr>
          <w:rFonts w:ascii="Times New Roman" w:eastAsia="Calibri" w:hAnsi="Times New Roman" w:cs="Times New Roman"/>
          <w:sz w:val="24"/>
          <w:szCs w:val="24"/>
        </w:rPr>
        <w:t>L’Agenda</w:t>
      </w:r>
      <w:r w:rsidR="00CB5BBE">
        <w:rPr>
          <w:rFonts w:ascii="Times New Roman" w:eastAsia="Calibri" w:hAnsi="Times New Roman" w:cs="Times New Roman"/>
          <w:sz w:val="24"/>
          <w:szCs w:val="24"/>
        </w:rPr>
        <w:t xml:space="preserve"> ONU</w:t>
      </w:r>
      <w:r w:rsidRPr="00DC4A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2030 </w:t>
      </w:r>
      <w:r w:rsidRPr="00DC4AE4">
        <w:rPr>
          <w:rFonts w:ascii="Times New Roman" w:eastAsia="Calibri" w:hAnsi="Times New Roman" w:cs="Times New Roman"/>
          <w:sz w:val="24"/>
          <w:szCs w:val="24"/>
        </w:rPr>
        <w:t>p</w:t>
      </w:r>
      <w:r>
        <w:rPr>
          <w:rFonts w:ascii="Times New Roman" w:eastAsia="Calibri" w:hAnsi="Times New Roman" w:cs="Times New Roman"/>
          <w:sz w:val="24"/>
          <w:szCs w:val="24"/>
        </w:rPr>
        <w:t xml:space="preserve">er lo Sviluppo Sostenibile </w:t>
      </w:r>
      <w:r w:rsidR="003B35E3">
        <w:rPr>
          <w:rFonts w:ascii="Times New Roman" w:eastAsia="Calibri" w:hAnsi="Times New Roman" w:cs="Times New Roman"/>
          <w:sz w:val="24"/>
          <w:szCs w:val="24"/>
        </w:rPr>
        <w:t>ha, tra i suoi obiettivi, il “raggiungimento del</w:t>
      </w:r>
      <w:r w:rsidR="003B35E3" w:rsidRPr="003B35E3">
        <w:rPr>
          <w:rFonts w:ascii="Times New Roman" w:eastAsia="Calibri" w:hAnsi="Times New Roman" w:cs="Times New Roman"/>
          <w:sz w:val="24"/>
          <w:szCs w:val="24"/>
        </w:rPr>
        <w:t>l’uguaglianza di genere</w:t>
      </w:r>
      <w:r w:rsidR="003B35E3">
        <w:rPr>
          <w:rFonts w:ascii="Times New Roman" w:eastAsia="Calibri" w:hAnsi="Times New Roman" w:cs="Times New Roman"/>
          <w:sz w:val="24"/>
          <w:szCs w:val="24"/>
        </w:rPr>
        <w:t>”</w:t>
      </w:r>
      <w:r w:rsidR="00507B4D">
        <w:rPr>
          <w:rFonts w:ascii="Times New Roman" w:eastAsia="Calibri" w:hAnsi="Times New Roman" w:cs="Times New Roman"/>
          <w:sz w:val="24"/>
          <w:szCs w:val="24"/>
        </w:rPr>
        <w:t>, anche attraverso l</w:t>
      </w:r>
      <w:r w:rsidR="00D05363">
        <w:rPr>
          <w:rFonts w:ascii="Times New Roman" w:eastAsia="Calibri" w:hAnsi="Times New Roman" w:cs="Times New Roman"/>
          <w:sz w:val="24"/>
          <w:szCs w:val="24"/>
        </w:rPr>
        <w:t>’</w:t>
      </w:r>
      <w:r w:rsidR="00622A9A">
        <w:rPr>
          <w:rFonts w:ascii="Times New Roman" w:eastAsia="Calibri" w:hAnsi="Times New Roman" w:cs="Times New Roman"/>
          <w:sz w:val="24"/>
          <w:szCs w:val="24"/>
        </w:rPr>
        <w:t>“</w:t>
      </w:r>
      <w:r w:rsidR="00D05363">
        <w:rPr>
          <w:rFonts w:ascii="Times New Roman" w:eastAsia="Calibri" w:hAnsi="Times New Roman" w:cs="Times New Roman"/>
          <w:sz w:val="24"/>
          <w:szCs w:val="24"/>
        </w:rPr>
        <w:t xml:space="preserve">eliminazione di ogni </w:t>
      </w:r>
      <w:r w:rsidR="00D05363" w:rsidRPr="00D05363">
        <w:rPr>
          <w:rFonts w:ascii="Times New Roman" w:eastAsia="Calibri" w:hAnsi="Times New Roman" w:cs="Times New Roman"/>
          <w:sz w:val="24"/>
          <w:szCs w:val="24"/>
        </w:rPr>
        <w:t>forma di violenza nei confronti di donne e bambine</w:t>
      </w:r>
      <w:r w:rsidR="00D05363">
        <w:rPr>
          <w:rFonts w:ascii="Times New Roman" w:eastAsia="Calibri" w:hAnsi="Times New Roman" w:cs="Times New Roman"/>
          <w:sz w:val="24"/>
          <w:szCs w:val="24"/>
        </w:rPr>
        <w:t>”</w:t>
      </w:r>
      <w:r w:rsidR="00DA4ACA">
        <w:rPr>
          <w:rFonts w:ascii="Times New Roman" w:eastAsia="Calibri" w:hAnsi="Times New Roman" w:cs="Times New Roman"/>
          <w:sz w:val="24"/>
          <w:szCs w:val="24"/>
        </w:rPr>
        <w:t>.</w:t>
      </w:r>
      <w:r w:rsidR="00D05363">
        <w:rPr>
          <w:rFonts w:ascii="Times New Roman" w:eastAsia="Calibri" w:hAnsi="Times New Roman" w:cs="Times New Roman"/>
          <w:sz w:val="24"/>
          <w:szCs w:val="24"/>
        </w:rPr>
        <w:t xml:space="preserve"> </w:t>
      </w:r>
      <w:r w:rsidR="00DB1696">
        <w:rPr>
          <w:rFonts w:ascii="Times New Roman" w:eastAsia="Calibri" w:hAnsi="Times New Roman" w:cs="Times New Roman"/>
          <w:sz w:val="24"/>
          <w:szCs w:val="24"/>
        </w:rPr>
        <w:t>Secondo</w:t>
      </w:r>
      <w:r w:rsidR="00C07563" w:rsidRPr="00C07563">
        <w:rPr>
          <w:rFonts w:ascii="Times New Roman" w:eastAsia="Calibri" w:hAnsi="Times New Roman" w:cs="Times New Roman"/>
          <w:sz w:val="24"/>
          <w:szCs w:val="24"/>
        </w:rPr>
        <w:t xml:space="preserve"> dati ISTAT </w:t>
      </w:r>
      <w:r w:rsidR="00D7048A">
        <w:rPr>
          <w:rFonts w:ascii="Times New Roman" w:eastAsia="Calibri" w:hAnsi="Times New Roman" w:cs="Times New Roman"/>
          <w:sz w:val="24"/>
          <w:szCs w:val="24"/>
        </w:rPr>
        <w:t>(2014)</w:t>
      </w:r>
      <w:r w:rsidR="00DB1696">
        <w:rPr>
          <w:rFonts w:ascii="Times New Roman" w:eastAsia="Calibri" w:hAnsi="Times New Roman" w:cs="Times New Roman"/>
          <w:sz w:val="24"/>
          <w:szCs w:val="24"/>
        </w:rPr>
        <w:t xml:space="preserve">, </w:t>
      </w:r>
      <w:r w:rsidR="00C07563" w:rsidRPr="00C07563">
        <w:rPr>
          <w:rFonts w:ascii="Times New Roman" w:eastAsia="Calibri" w:hAnsi="Times New Roman" w:cs="Times New Roman"/>
          <w:sz w:val="24"/>
          <w:szCs w:val="24"/>
        </w:rPr>
        <w:t xml:space="preserve">il 31,5% delle donne </w:t>
      </w:r>
      <w:r w:rsidR="007063F6">
        <w:rPr>
          <w:rFonts w:ascii="Times New Roman" w:eastAsia="Calibri" w:hAnsi="Times New Roman" w:cs="Times New Roman"/>
          <w:sz w:val="24"/>
          <w:szCs w:val="24"/>
        </w:rPr>
        <w:t xml:space="preserve">italiane </w:t>
      </w:r>
      <w:r w:rsidR="00C07563" w:rsidRPr="00C07563">
        <w:rPr>
          <w:rFonts w:ascii="Times New Roman" w:eastAsia="Calibri" w:hAnsi="Times New Roman" w:cs="Times New Roman"/>
          <w:sz w:val="24"/>
          <w:szCs w:val="24"/>
        </w:rPr>
        <w:t xml:space="preserve">è stata vittima </w:t>
      </w:r>
      <w:r w:rsidR="009A103A">
        <w:rPr>
          <w:rFonts w:ascii="Times New Roman" w:eastAsia="Calibri" w:hAnsi="Times New Roman" w:cs="Times New Roman"/>
          <w:sz w:val="24"/>
          <w:szCs w:val="24"/>
        </w:rPr>
        <w:t>di</w:t>
      </w:r>
      <w:r w:rsidR="00C07563" w:rsidRPr="00C07563">
        <w:rPr>
          <w:rFonts w:ascii="Times New Roman" w:eastAsia="Calibri" w:hAnsi="Times New Roman" w:cs="Times New Roman"/>
          <w:sz w:val="24"/>
          <w:szCs w:val="24"/>
        </w:rPr>
        <w:t xml:space="preserve"> una forma di violenza</w:t>
      </w:r>
      <w:r w:rsidR="009A103A">
        <w:rPr>
          <w:rFonts w:ascii="Times New Roman" w:eastAsia="Calibri" w:hAnsi="Times New Roman" w:cs="Times New Roman"/>
          <w:sz w:val="24"/>
          <w:szCs w:val="24"/>
        </w:rPr>
        <w:t xml:space="preserve"> e </w:t>
      </w:r>
      <w:r w:rsidR="00D3534F" w:rsidRPr="00D3534F">
        <w:rPr>
          <w:rFonts w:ascii="Times New Roman" w:eastAsia="Calibri" w:hAnsi="Times New Roman" w:cs="Times New Roman"/>
          <w:sz w:val="24"/>
          <w:szCs w:val="24"/>
        </w:rPr>
        <w:t xml:space="preserve">il 21% </w:t>
      </w:r>
      <w:r w:rsidR="00D3534F">
        <w:rPr>
          <w:rFonts w:ascii="Times New Roman" w:eastAsia="Calibri" w:hAnsi="Times New Roman" w:cs="Times New Roman"/>
          <w:sz w:val="24"/>
          <w:szCs w:val="24"/>
        </w:rPr>
        <w:t xml:space="preserve">di </w:t>
      </w:r>
      <w:r w:rsidR="00D3534F" w:rsidRPr="00D3534F">
        <w:rPr>
          <w:rFonts w:ascii="Times New Roman" w:eastAsia="Calibri" w:hAnsi="Times New Roman" w:cs="Times New Roman"/>
          <w:sz w:val="24"/>
          <w:szCs w:val="24"/>
        </w:rPr>
        <w:t>violenza sessuale.</w:t>
      </w:r>
      <w:r w:rsidR="00D3534F">
        <w:rPr>
          <w:rFonts w:ascii="Times New Roman" w:eastAsia="Calibri" w:hAnsi="Times New Roman" w:cs="Times New Roman"/>
          <w:sz w:val="24"/>
          <w:szCs w:val="24"/>
        </w:rPr>
        <w:t xml:space="preserve"> </w:t>
      </w:r>
      <w:r w:rsidR="00876298">
        <w:rPr>
          <w:rFonts w:ascii="Times New Roman" w:eastAsia="Calibri" w:hAnsi="Times New Roman" w:cs="Times New Roman"/>
          <w:sz w:val="24"/>
          <w:szCs w:val="24"/>
        </w:rPr>
        <w:t xml:space="preserve">Questi dati evidenziano l’importanza di </w:t>
      </w:r>
      <w:r w:rsidR="00507B4D">
        <w:rPr>
          <w:rFonts w:ascii="Times New Roman" w:eastAsia="Calibri" w:hAnsi="Times New Roman" w:cs="Times New Roman"/>
          <w:sz w:val="24"/>
          <w:szCs w:val="24"/>
        </w:rPr>
        <w:t>comprendere quali fattori aumentino la vulnerabilità delle donne, al fine di promuovere politiche e azioni sociali</w:t>
      </w:r>
      <w:r w:rsidR="00F87DF1">
        <w:rPr>
          <w:rFonts w:ascii="Times New Roman" w:eastAsia="Calibri" w:hAnsi="Times New Roman" w:cs="Times New Roman"/>
          <w:sz w:val="24"/>
          <w:szCs w:val="24"/>
        </w:rPr>
        <w:t xml:space="preserve"> tese alla </w:t>
      </w:r>
      <w:r w:rsidR="00FE459B">
        <w:rPr>
          <w:rFonts w:ascii="Times New Roman" w:eastAsia="Calibri" w:hAnsi="Times New Roman" w:cs="Times New Roman"/>
          <w:sz w:val="24"/>
          <w:szCs w:val="24"/>
        </w:rPr>
        <w:t>riduzione del rischio</w:t>
      </w:r>
      <w:r w:rsidR="00CB5BBE">
        <w:rPr>
          <w:rFonts w:ascii="Times New Roman" w:eastAsia="Calibri" w:hAnsi="Times New Roman" w:cs="Times New Roman"/>
          <w:sz w:val="24"/>
          <w:szCs w:val="24"/>
        </w:rPr>
        <w:t>.</w:t>
      </w:r>
      <w:r w:rsidR="00DA4ACA">
        <w:rPr>
          <w:rFonts w:ascii="Times New Roman" w:eastAsia="Calibri" w:hAnsi="Times New Roman" w:cs="Times New Roman"/>
          <w:sz w:val="24"/>
          <w:szCs w:val="24"/>
        </w:rPr>
        <w:t xml:space="preserve"> </w:t>
      </w:r>
    </w:p>
    <w:p w14:paraId="7F035FB4" w14:textId="5F371CBD" w:rsidR="009E2327" w:rsidRDefault="00E00F4F" w:rsidP="009C300E">
      <w:pPr>
        <w:tabs>
          <w:tab w:val="left" w:pos="238"/>
        </w:tabs>
        <w:autoSpaceDE w:val="0"/>
        <w:autoSpaceDN w:val="0"/>
        <w:adjustRightInd w:val="0"/>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A tal fine, </w:t>
      </w:r>
      <w:r w:rsidR="00175A6F" w:rsidRPr="00FF4F52">
        <w:rPr>
          <w:rFonts w:ascii="Times New Roman" w:eastAsia="Calibri" w:hAnsi="Times New Roman" w:cs="Times New Roman"/>
          <w:b/>
          <w:bCs/>
          <w:sz w:val="24"/>
          <w:szCs w:val="24"/>
        </w:rPr>
        <w:t>l</w:t>
      </w:r>
      <w:r w:rsidR="0018479F" w:rsidRPr="00FF4F52">
        <w:rPr>
          <w:rFonts w:ascii="Times New Roman" w:eastAsia="Calibri" w:hAnsi="Times New Roman" w:cs="Times New Roman"/>
          <w:b/>
          <w:bCs/>
          <w:sz w:val="24"/>
          <w:szCs w:val="24"/>
        </w:rPr>
        <w:t>’obiettivo generale del progetto</w:t>
      </w:r>
      <w:r w:rsidR="0018479F">
        <w:rPr>
          <w:rFonts w:ascii="Times New Roman" w:eastAsia="Calibri" w:hAnsi="Times New Roman" w:cs="Times New Roman"/>
          <w:sz w:val="24"/>
          <w:szCs w:val="24"/>
        </w:rPr>
        <w:t xml:space="preserve"> è identificare alcuni correlati psico-sociali </w:t>
      </w:r>
      <w:r>
        <w:rPr>
          <w:rFonts w:ascii="Times New Roman" w:eastAsia="Calibri" w:hAnsi="Times New Roman" w:cs="Times New Roman"/>
          <w:sz w:val="24"/>
          <w:szCs w:val="24"/>
        </w:rPr>
        <w:t xml:space="preserve">della capacità di riconoscere </w:t>
      </w:r>
      <w:r w:rsidR="00175A6F">
        <w:rPr>
          <w:rFonts w:ascii="Times New Roman" w:eastAsia="Calibri" w:hAnsi="Times New Roman" w:cs="Times New Roman"/>
          <w:sz w:val="24"/>
          <w:szCs w:val="24"/>
        </w:rPr>
        <w:t xml:space="preserve">precocemente </w:t>
      </w:r>
      <w:r>
        <w:rPr>
          <w:rFonts w:ascii="Times New Roman" w:eastAsia="Calibri" w:hAnsi="Times New Roman" w:cs="Times New Roman"/>
          <w:sz w:val="24"/>
          <w:szCs w:val="24"/>
        </w:rPr>
        <w:t xml:space="preserve">le situazioni di rischio nelle </w:t>
      </w:r>
      <w:r w:rsidR="0018479F">
        <w:rPr>
          <w:rFonts w:ascii="Times New Roman" w:eastAsia="Calibri" w:hAnsi="Times New Roman" w:cs="Times New Roman"/>
          <w:sz w:val="24"/>
          <w:szCs w:val="24"/>
        </w:rPr>
        <w:t xml:space="preserve">giovani </w:t>
      </w:r>
      <w:r w:rsidR="0018479F" w:rsidRPr="00402E12">
        <w:rPr>
          <w:rFonts w:ascii="Times New Roman" w:eastAsia="Calibri" w:hAnsi="Times New Roman" w:cs="Times New Roman"/>
          <w:sz w:val="24"/>
          <w:szCs w:val="24"/>
        </w:rPr>
        <w:t xml:space="preserve">donne </w:t>
      </w:r>
      <w:r w:rsidR="00CB5BBE">
        <w:rPr>
          <w:rFonts w:ascii="Times New Roman" w:eastAsia="Calibri" w:hAnsi="Times New Roman" w:cs="Times New Roman"/>
          <w:sz w:val="24"/>
          <w:szCs w:val="24"/>
        </w:rPr>
        <w:t>(</w:t>
      </w:r>
      <w:r w:rsidR="009C300E">
        <w:rPr>
          <w:rFonts w:ascii="Times New Roman" w:eastAsia="Calibri" w:hAnsi="Times New Roman" w:cs="Times New Roman"/>
          <w:sz w:val="24"/>
          <w:szCs w:val="24"/>
        </w:rPr>
        <w:t xml:space="preserve">popolazione riconosciuta come più a rischio, </w:t>
      </w:r>
      <w:proofErr w:type="spellStart"/>
      <w:r w:rsidR="009C300E" w:rsidRPr="00E076C8">
        <w:rPr>
          <w:rFonts w:ascii="Times New Roman" w:eastAsia="Calibri" w:hAnsi="Times New Roman" w:cs="Times New Roman"/>
          <w:sz w:val="24"/>
          <w:szCs w:val="24"/>
        </w:rPr>
        <w:t>Planty</w:t>
      </w:r>
      <w:proofErr w:type="spellEnd"/>
      <w:r w:rsidR="009C300E" w:rsidRPr="00E076C8">
        <w:rPr>
          <w:rFonts w:ascii="Times New Roman" w:eastAsia="Calibri" w:hAnsi="Times New Roman" w:cs="Times New Roman"/>
          <w:sz w:val="24"/>
          <w:szCs w:val="24"/>
        </w:rPr>
        <w:t xml:space="preserve"> et al. 2013</w:t>
      </w:r>
      <w:r w:rsidR="00CB5BBE">
        <w:rPr>
          <w:rFonts w:ascii="Times New Roman" w:eastAsia="Calibri" w:hAnsi="Times New Roman" w:cs="Times New Roman"/>
          <w:sz w:val="24"/>
          <w:szCs w:val="24"/>
        </w:rPr>
        <w:t>)</w:t>
      </w:r>
      <w:r w:rsidR="0018479F">
        <w:rPr>
          <w:rFonts w:ascii="Times New Roman" w:eastAsia="Calibri" w:hAnsi="Times New Roman" w:cs="Times New Roman"/>
          <w:sz w:val="24"/>
          <w:szCs w:val="24"/>
        </w:rPr>
        <w:t xml:space="preserve">. </w:t>
      </w:r>
    </w:p>
    <w:p w14:paraId="7D0B308E" w14:textId="7A415255" w:rsidR="006A3DD0" w:rsidRDefault="003275AB" w:rsidP="003275AB">
      <w:pPr>
        <w:tabs>
          <w:tab w:val="left" w:pos="238"/>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 letteratura ha mostrato che tale capacità</w:t>
      </w:r>
      <w:r w:rsidR="00175A6F">
        <w:rPr>
          <w:rFonts w:ascii="Times New Roman" w:eastAsia="Calibri" w:hAnsi="Times New Roman" w:cs="Times New Roman"/>
          <w:sz w:val="24"/>
          <w:szCs w:val="24"/>
        </w:rPr>
        <w:t xml:space="preserve"> favorisce la </w:t>
      </w:r>
      <w:r>
        <w:rPr>
          <w:rFonts w:ascii="Times New Roman" w:eastAsia="Calibri" w:hAnsi="Times New Roman" w:cs="Times New Roman"/>
          <w:sz w:val="24"/>
          <w:szCs w:val="24"/>
        </w:rPr>
        <w:t>m</w:t>
      </w:r>
      <w:r w:rsidR="00175A6F">
        <w:rPr>
          <w:rFonts w:ascii="Times New Roman" w:eastAsia="Calibri" w:hAnsi="Times New Roman" w:cs="Times New Roman"/>
          <w:sz w:val="24"/>
          <w:szCs w:val="24"/>
        </w:rPr>
        <w:t>essa</w:t>
      </w:r>
      <w:r w:rsidR="00D53846" w:rsidRPr="00D53846">
        <w:rPr>
          <w:rFonts w:ascii="Times New Roman" w:eastAsia="Calibri" w:hAnsi="Times New Roman" w:cs="Times New Roman"/>
          <w:sz w:val="24"/>
          <w:szCs w:val="24"/>
        </w:rPr>
        <w:t xml:space="preserve"> in atto comportament</w:t>
      </w:r>
      <w:r w:rsidR="00D53846">
        <w:rPr>
          <w:rFonts w:ascii="Times New Roman" w:eastAsia="Calibri" w:hAnsi="Times New Roman" w:cs="Times New Roman"/>
          <w:sz w:val="24"/>
          <w:szCs w:val="24"/>
        </w:rPr>
        <w:t>i</w:t>
      </w:r>
      <w:r w:rsidR="00D53846" w:rsidRPr="00D53846">
        <w:rPr>
          <w:rFonts w:ascii="Times New Roman" w:eastAsia="Calibri" w:hAnsi="Times New Roman" w:cs="Times New Roman"/>
          <w:sz w:val="24"/>
          <w:szCs w:val="24"/>
        </w:rPr>
        <w:t xml:space="preserve"> protettivi (</w:t>
      </w:r>
      <w:proofErr w:type="spellStart"/>
      <w:r w:rsidR="00D53846" w:rsidRPr="00D53846">
        <w:rPr>
          <w:rFonts w:ascii="Times New Roman" w:eastAsia="Calibri" w:hAnsi="Times New Roman" w:cs="Times New Roman"/>
          <w:sz w:val="24"/>
          <w:szCs w:val="24"/>
        </w:rPr>
        <w:t>Gidycz</w:t>
      </w:r>
      <w:proofErr w:type="spellEnd"/>
      <w:r w:rsidR="00D53846" w:rsidRPr="00D53846">
        <w:rPr>
          <w:rFonts w:ascii="Times New Roman" w:eastAsia="Calibri" w:hAnsi="Times New Roman" w:cs="Times New Roman"/>
          <w:sz w:val="24"/>
          <w:szCs w:val="24"/>
        </w:rPr>
        <w:t xml:space="preserve"> et al. 2006)</w:t>
      </w:r>
      <w:r>
        <w:rPr>
          <w:rFonts w:ascii="Times New Roman" w:eastAsia="Calibri" w:hAnsi="Times New Roman" w:cs="Times New Roman"/>
          <w:sz w:val="24"/>
          <w:szCs w:val="24"/>
        </w:rPr>
        <w:t xml:space="preserve"> ed</w:t>
      </w:r>
      <w:r w:rsidR="00175A6F">
        <w:rPr>
          <w:rFonts w:ascii="Times New Roman" w:eastAsia="Calibri" w:hAnsi="Times New Roman" w:cs="Times New Roman"/>
          <w:sz w:val="24"/>
          <w:szCs w:val="24"/>
        </w:rPr>
        <w:t xml:space="preserve"> è predetta da fattori quali la </w:t>
      </w:r>
      <w:r w:rsidR="007810BD">
        <w:rPr>
          <w:rFonts w:ascii="Times New Roman" w:eastAsia="Calibri" w:hAnsi="Times New Roman" w:cs="Times New Roman"/>
          <w:sz w:val="24"/>
          <w:szCs w:val="24"/>
        </w:rPr>
        <w:t>vittimizzazione precedente, l’uso di a</w:t>
      </w:r>
      <w:r w:rsidR="004F03C8">
        <w:rPr>
          <w:rFonts w:ascii="Times New Roman" w:eastAsia="Calibri" w:hAnsi="Times New Roman" w:cs="Times New Roman"/>
          <w:sz w:val="24"/>
          <w:szCs w:val="24"/>
        </w:rPr>
        <w:t>l</w:t>
      </w:r>
      <w:r w:rsidR="007810BD">
        <w:rPr>
          <w:rFonts w:ascii="Times New Roman" w:eastAsia="Calibri" w:hAnsi="Times New Roman" w:cs="Times New Roman"/>
          <w:sz w:val="24"/>
          <w:szCs w:val="24"/>
        </w:rPr>
        <w:t>cool</w:t>
      </w:r>
      <w:r w:rsidR="0006346B">
        <w:rPr>
          <w:rFonts w:ascii="Times New Roman" w:eastAsia="Calibri" w:hAnsi="Times New Roman" w:cs="Times New Roman"/>
          <w:sz w:val="24"/>
          <w:szCs w:val="24"/>
        </w:rPr>
        <w:t>,</w:t>
      </w:r>
      <w:r w:rsidR="007810BD">
        <w:rPr>
          <w:rFonts w:ascii="Times New Roman" w:eastAsia="Calibri" w:hAnsi="Times New Roman" w:cs="Times New Roman"/>
          <w:sz w:val="24"/>
          <w:szCs w:val="24"/>
        </w:rPr>
        <w:t xml:space="preserve"> </w:t>
      </w:r>
      <w:r w:rsidR="004F03C8">
        <w:rPr>
          <w:rFonts w:ascii="Times New Roman" w:eastAsia="Calibri" w:hAnsi="Times New Roman" w:cs="Times New Roman"/>
          <w:sz w:val="24"/>
          <w:szCs w:val="24"/>
        </w:rPr>
        <w:t xml:space="preserve">e caratteristiche individuali </w:t>
      </w:r>
      <w:r w:rsidR="003759AF">
        <w:rPr>
          <w:rFonts w:ascii="Times New Roman" w:eastAsia="Calibri" w:hAnsi="Times New Roman" w:cs="Times New Roman"/>
          <w:sz w:val="24"/>
          <w:szCs w:val="24"/>
        </w:rPr>
        <w:t xml:space="preserve">nell’elaborazione cognitiva dei segnali di rischio </w:t>
      </w:r>
      <w:r w:rsidR="00F955B2">
        <w:rPr>
          <w:rFonts w:ascii="Times New Roman" w:eastAsia="Calibri" w:hAnsi="Times New Roman" w:cs="Times New Roman"/>
          <w:sz w:val="24"/>
          <w:szCs w:val="24"/>
        </w:rPr>
        <w:t>(</w:t>
      </w:r>
      <w:proofErr w:type="spellStart"/>
      <w:r w:rsidR="00F955B2">
        <w:rPr>
          <w:rFonts w:ascii="Times New Roman" w:eastAsia="Calibri" w:hAnsi="Times New Roman" w:cs="Times New Roman"/>
          <w:sz w:val="24"/>
          <w:szCs w:val="24"/>
        </w:rPr>
        <w:t>Rinehart</w:t>
      </w:r>
      <w:proofErr w:type="spellEnd"/>
      <w:r w:rsidR="00F955B2">
        <w:rPr>
          <w:rFonts w:ascii="Times New Roman" w:eastAsia="Calibri" w:hAnsi="Times New Roman" w:cs="Times New Roman"/>
          <w:sz w:val="24"/>
          <w:szCs w:val="24"/>
        </w:rPr>
        <w:t xml:space="preserve"> e </w:t>
      </w:r>
      <w:proofErr w:type="spellStart"/>
      <w:r w:rsidR="00F955B2">
        <w:rPr>
          <w:rFonts w:ascii="Times New Roman" w:eastAsia="Calibri" w:hAnsi="Times New Roman" w:cs="Times New Roman"/>
          <w:sz w:val="24"/>
          <w:szCs w:val="24"/>
        </w:rPr>
        <w:t>Yeater</w:t>
      </w:r>
      <w:proofErr w:type="spellEnd"/>
      <w:r w:rsidR="00F955B2">
        <w:rPr>
          <w:rFonts w:ascii="Times New Roman" w:eastAsia="Calibri" w:hAnsi="Times New Roman" w:cs="Times New Roman"/>
          <w:sz w:val="24"/>
          <w:szCs w:val="24"/>
        </w:rPr>
        <w:t>, 2015)</w:t>
      </w:r>
      <w:r w:rsidR="003759AF">
        <w:rPr>
          <w:rFonts w:ascii="Times New Roman" w:eastAsia="Calibri" w:hAnsi="Times New Roman" w:cs="Times New Roman"/>
          <w:sz w:val="24"/>
          <w:szCs w:val="24"/>
        </w:rPr>
        <w:t xml:space="preserve">. </w:t>
      </w:r>
      <w:r w:rsidR="00605D40">
        <w:rPr>
          <w:rFonts w:ascii="Times New Roman" w:eastAsia="Calibri" w:hAnsi="Times New Roman" w:cs="Times New Roman"/>
          <w:sz w:val="24"/>
          <w:szCs w:val="24"/>
        </w:rPr>
        <w:t xml:space="preserve">Inoltre, </w:t>
      </w:r>
      <w:r w:rsidR="005B237B" w:rsidRPr="009200EB">
        <w:rPr>
          <w:rFonts w:ascii="Times New Roman" w:eastAsia="Calibri" w:hAnsi="Times New Roman" w:cs="Times New Roman"/>
          <w:sz w:val="24"/>
          <w:szCs w:val="24"/>
        </w:rPr>
        <w:t>l’</w:t>
      </w:r>
      <w:r w:rsidR="005B237B" w:rsidRPr="00FE38FF">
        <w:rPr>
          <w:rFonts w:ascii="Times New Roman" w:eastAsia="Calibri" w:hAnsi="Times New Roman" w:cs="Times New Roman"/>
          <w:sz w:val="24"/>
          <w:szCs w:val="24"/>
        </w:rPr>
        <w:t>auto-oggettivazione</w:t>
      </w:r>
      <w:r w:rsidR="00480C10" w:rsidRPr="009D6FAC">
        <w:rPr>
          <w:rFonts w:ascii="Times New Roman" w:eastAsia="Calibri" w:hAnsi="Times New Roman" w:cs="Times New Roman"/>
          <w:sz w:val="24"/>
          <w:szCs w:val="24"/>
        </w:rPr>
        <w:t xml:space="preserve">, ossia </w:t>
      </w:r>
      <w:r w:rsidR="0006346B">
        <w:rPr>
          <w:rFonts w:ascii="Times New Roman" w:eastAsia="Calibri" w:hAnsi="Times New Roman" w:cs="Times New Roman"/>
          <w:sz w:val="24"/>
          <w:szCs w:val="24"/>
        </w:rPr>
        <w:t xml:space="preserve">la tendenza delle donne </w:t>
      </w:r>
      <w:r w:rsidR="00382FA9">
        <w:rPr>
          <w:rFonts w:ascii="Times New Roman" w:eastAsia="Calibri" w:hAnsi="Times New Roman" w:cs="Times New Roman"/>
          <w:sz w:val="24"/>
          <w:szCs w:val="24"/>
        </w:rPr>
        <w:t xml:space="preserve">a vedersi come oggetti sessuali </w:t>
      </w:r>
      <w:r w:rsidR="00480C10" w:rsidRPr="00382FA9">
        <w:rPr>
          <w:rFonts w:ascii="Times New Roman" w:eastAsia="Calibri" w:hAnsi="Times New Roman" w:cs="Times New Roman"/>
          <w:sz w:val="24"/>
          <w:szCs w:val="24"/>
        </w:rPr>
        <w:t>(</w:t>
      </w:r>
      <w:proofErr w:type="spellStart"/>
      <w:r w:rsidR="00480C10" w:rsidRPr="00382FA9">
        <w:rPr>
          <w:rFonts w:ascii="Times New Roman" w:eastAsia="Calibri" w:hAnsi="Times New Roman" w:cs="Times New Roman"/>
          <w:sz w:val="24"/>
          <w:szCs w:val="24"/>
        </w:rPr>
        <w:t>Fredrickson</w:t>
      </w:r>
      <w:proofErr w:type="spellEnd"/>
      <w:r w:rsidR="00480C10" w:rsidRPr="00382FA9">
        <w:rPr>
          <w:rFonts w:ascii="Times New Roman" w:eastAsia="Calibri" w:hAnsi="Times New Roman" w:cs="Times New Roman"/>
          <w:sz w:val="24"/>
          <w:szCs w:val="24"/>
        </w:rPr>
        <w:t xml:space="preserve"> </w:t>
      </w:r>
      <w:r w:rsidR="00A104F7">
        <w:rPr>
          <w:rFonts w:ascii="Times New Roman" w:eastAsia="Calibri" w:hAnsi="Times New Roman" w:cs="Times New Roman"/>
          <w:sz w:val="24"/>
          <w:szCs w:val="24"/>
        </w:rPr>
        <w:t>e</w:t>
      </w:r>
      <w:r w:rsidR="00480C10" w:rsidRPr="00382FA9">
        <w:rPr>
          <w:rFonts w:ascii="Times New Roman" w:eastAsia="Calibri" w:hAnsi="Times New Roman" w:cs="Times New Roman"/>
          <w:sz w:val="24"/>
          <w:szCs w:val="24"/>
        </w:rPr>
        <w:t xml:space="preserve"> Roberts, 1997</w:t>
      </w:r>
      <w:r w:rsidR="00382FA9">
        <w:rPr>
          <w:rFonts w:ascii="Times New Roman" w:eastAsia="Calibri" w:hAnsi="Times New Roman" w:cs="Times New Roman"/>
          <w:sz w:val="24"/>
          <w:szCs w:val="24"/>
        </w:rPr>
        <w:t>)</w:t>
      </w:r>
      <w:r w:rsidR="00A104F7">
        <w:rPr>
          <w:rFonts w:ascii="Times New Roman" w:eastAsia="Calibri" w:hAnsi="Times New Roman" w:cs="Times New Roman"/>
          <w:sz w:val="24"/>
          <w:szCs w:val="24"/>
        </w:rPr>
        <w:t xml:space="preserve">, aumenta </w:t>
      </w:r>
      <w:r w:rsidR="008A3F63">
        <w:rPr>
          <w:rFonts w:ascii="Times New Roman" w:eastAsia="Calibri" w:hAnsi="Times New Roman" w:cs="Times New Roman"/>
          <w:sz w:val="24"/>
          <w:szCs w:val="24"/>
        </w:rPr>
        <w:t xml:space="preserve">la probabilità di </w:t>
      </w:r>
      <w:r w:rsidR="00292F2E">
        <w:rPr>
          <w:rFonts w:ascii="Times New Roman" w:eastAsia="Calibri" w:hAnsi="Times New Roman" w:cs="Times New Roman"/>
          <w:sz w:val="24"/>
          <w:szCs w:val="24"/>
        </w:rPr>
        <w:t>diventare vittime di violenza sessuale</w:t>
      </w:r>
      <w:r w:rsidR="00292F2E" w:rsidRPr="00E17C0C">
        <w:rPr>
          <w:rFonts w:ascii="Times New Roman" w:eastAsia="Calibri" w:hAnsi="Times New Roman" w:cs="Times New Roman"/>
          <w:sz w:val="24"/>
          <w:szCs w:val="24"/>
        </w:rPr>
        <w:t xml:space="preserve"> (Franz et al. 2015)</w:t>
      </w:r>
      <w:r w:rsidR="00945A1C">
        <w:rPr>
          <w:rFonts w:ascii="Times New Roman" w:eastAsia="Calibri" w:hAnsi="Times New Roman" w:cs="Times New Roman"/>
          <w:sz w:val="24"/>
          <w:szCs w:val="24"/>
        </w:rPr>
        <w:t>, oltre che la tolleranza verso gli abusi sessuali (Bernard et al. 2016)</w:t>
      </w:r>
      <w:r w:rsidR="00292F2E" w:rsidRPr="00E17C0C">
        <w:rPr>
          <w:rFonts w:ascii="Times New Roman" w:eastAsia="Calibri" w:hAnsi="Times New Roman" w:cs="Times New Roman"/>
          <w:sz w:val="24"/>
          <w:szCs w:val="24"/>
        </w:rPr>
        <w:t>.</w:t>
      </w:r>
      <w:r w:rsidR="008E49E5">
        <w:rPr>
          <w:rFonts w:ascii="Times New Roman" w:eastAsia="Calibri" w:hAnsi="Times New Roman" w:cs="Times New Roman"/>
          <w:sz w:val="24"/>
          <w:szCs w:val="24"/>
        </w:rPr>
        <w:t xml:space="preserve"> </w:t>
      </w:r>
    </w:p>
    <w:p w14:paraId="4E37FA16" w14:textId="275AEBFA" w:rsidR="002A79D3" w:rsidRDefault="00952758" w:rsidP="00B838DA">
      <w:pPr>
        <w:tabs>
          <w:tab w:val="left" w:pos="238"/>
        </w:tabs>
        <w:autoSpaceDE w:val="0"/>
        <w:autoSpaceDN w:val="0"/>
        <w:adjustRightInd w:val="0"/>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Tuttavia, nessuno studio </w:t>
      </w:r>
      <w:r w:rsidR="00F276AC">
        <w:rPr>
          <w:rFonts w:ascii="Times New Roman" w:eastAsia="Calibri" w:hAnsi="Times New Roman" w:cs="Times New Roman"/>
          <w:sz w:val="24"/>
          <w:szCs w:val="24"/>
        </w:rPr>
        <w:t xml:space="preserve">ha </w:t>
      </w:r>
      <w:r w:rsidR="00B81A06">
        <w:rPr>
          <w:rFonts w:ascii="Times New Roman" w:eastAsia="Calibri" w:hAnsi="Times New Roman" w:cs="Times New Roman"/>
          <w:sz w:val="24"/>
          <w:szCs w:val="24"/>
        </w:rPr>
        <w:t xml:space="preserve">sinora </w:t>
      </w:r>
      <w:r w:rsidR="00F276AC">
        <w:rPr>
          <w:rFonts w:ascii="Times New Roman" w:eastAsia="Calibri" w:hAnsi="Times New Roman" w:cs="Times New Roman"/>
          <w:sz w:val="24"/>
          <w:szCs w:val="24"/>
        </w:rPr>
        <w:t xml:space="preserve">analizzato </w:t>
      </w:r>
      <w:r w:rsidR="00781BF5">
        <w:rPr>
          <w:rFonts w:ascii="Times New Roman" w:eastAsia="Calibri" w:hAnsi="Times New Roman" w:cs="Times New Roman"/>
          <w:sz w:val="24"/>
          <w:szCs w:val="24"/>
        </w:rPr>
        <w:t xml:space="preserve">il ruolo della sessualizzazione </w:t>
      </w:r>
      <w:r w:rsidR="00E568DD">
        <w:rPr>
          <w:rFonts w:ascii="Times New Roman" w:eastAsia="Calibri" w:hAnsi="Times New Roman" w:cs="Times New Roman"/>
          <w:sz w:val="24"/>
          <w:szCs w:val="24"/>
        </w:rPr>
        <w:t xml:space="preserve">interiorizzata </w:t>
      </w:r>
      <w:r w:rsidR="00B8569A">
        <w:rPr>
          <w:rFonts w:ascii="Times New Roman" w:eastAsia="Calibri" w:hAnsi="Times New Roman" w:cs="Times New Roman"/>
          <w:sz w:val="24"/>
          <w:szCs w:val="24"/>
        </w:rPr>
        <w:t xml:space="preserve">e delle ideologie </w:t>
      </w:r>
      <w:r w:rsidR="00E568DD">
        <w:rPr>
          <w:rFonts w:ascii="Times New Roman" w:eastAsia="Calibri" w:hAnsi="Times New Roman" w:cs="Times New Roman"/>
          <w:sz w:val="24"/>
          <w:szCs w:val="24"/>
        </w:rPr>
        <w:t xml:space="preserve">sessiste </w:t>
      </w:r>
      <w:r w:rsidR="00EC4565">
        <w:rPr>
          <w:rFonts w:ascii="Times New Roman" w:eastAsia="Calibri" w:hAnsi="Times New Roman" w:cs="Times New Roman"/>
          <w:sz w:val="24"/>
          <w:szCs w:val="24"/>
        </w:rPr>
        <w:t>(che legittimano i ruoli tradizionali di genere)</w:t>
      </w:r>
      <w:r w:rsidR="00DA4ACA">
        <w:rPr>
          <w:rFonts w:ascii="Times New Roman" w:eastAsia="Calibri" w:hAnsi="Times New Roman" w:cs="Times New Roman"/>
          <w:sz w:val="24"/>
          <w:szCs w:val="24"/>
        </w:rPr>
        <w:t>.</w:t>
      </w:r>
      <w:r w:rsidR="00081A65">
        <w:rPr>
          <w:rFonts w:ascii="Times New Roman" w:eastAsia="Calibri" w:hAnsi="Times New Roman" w:cs="Times New Roman"/>
          <w:sz w:val="24"/>
          <w:szCs w:val="24"/>
        </w:rPr>
        <w:t xml:space="preserve"> L</w:t>
      </w:r>
      <w:r w:rsidR="00966D16">
        <w:rPr>
          <w:rFonts w:ascii="Times New Roman" w:eastAsia="Calibri" w:hAnsi="Times New Roman" w:cs="Times New Roman"/>
          <w:sz w:val="24"/>
          <w:szCs w:val="24"/>
        </w:rPr>
        <w:t>’auto-</w:t>
      </w:r>
      <w:r w:rsidR="00081A65">
        <w:rPr>
          <w:rFonts w:ascii="Times New Roman" w:eastAsia="Calibri" w:hAnsi="Times New Roman" w:cs="Times New Roman"/>
          <w:sz w:val="24"/>
          <w:szCs w:val="24"/>
        </w:rPr>
        <w:t>sessualizzazione, un costrutto più ampio dell</w:t>
      </w:r>
      <w:r w:rsidR="00966D16">
        <w:rPr>
          <w:rFonts w:ascii="Times New Roman" w:eastAsia="Calibri" w:hAnsi="Times New Roman" w:cs="Times New Roman"/>
          <w:sz w:val="24"/>
          <w:szCs w:val="24"/>
        </w:rPr>
        <w:t>a più conosciuta auto-</w:t>
      </w:r>
      <w:r w:rsidR="005851B8">
        <w:rPr>
          <w:rFonts w:ascii="Times New Roman" w:eastAsia="Calibri" w:hAnsi="Times New Roman" w:cs="Times New Roman"/>
          <w:sz w:val="24"/>
          <w:szCs w:val="24"/>
        </w:rPr>
        <w:t>oggettivazione</w:t>
      </w:r>
      <w:r w:rsidR="00A42605">
        <w:rPr>
          <w:rFonts w:ascii="Times New Roman" w:eastAsia="Calibri" w:hAnsi="Times New Roman" w:cs="Times New Roman"/>
          <w:sz w:val="24"/>
          <w:szCs w:val="24"/>
        </w:rPr>
        <w:t xml:space="preserve"> </w:t>
      </w:r>
      <w:r w:rsidR="005B486F">
        <w:rPr>
          <w:rFonts w:ascii="Times New Roman" w:eastAsia="Calibri" w:hAnsi="Times New Roman" w:cs="Times New Roman"/>
          <w:sz w:val="24"/>
          <w:szCs w:val="24"/>
        </w:rPr>
        <w:t>(Ward et al. 2016)</w:t>
      </w:r>
      <w:r w:rsidR="002E3A6D">
        <w:rPr>
          <w:rFonts w:ascii="Times New Roman" w:eastAsia="Calibri" w:hAnsi="Times New Roman" w:cs="Times New Roman"/>
          <w:sz w:val="24"/>
          <w:szCs w:val="24"/>
        </w:rPr>
        <w:t xml:space="preserve">, </w:t>
      </w:r>
      <w:r w:rsidR="0006346B">
        <w:rPr>
          <w:rFonts w:ascii="Times New Roman" w:eastAsia="Calibri" w:hAnsi="Times New Roman" w:cs="Times New Roman"/>
          <w:sz w:val="24"/>
          <w:szCs w:val="24"/>
        </w:rPr>
        <w:t xml:space="preserve">è principalmente dovuta all’esposizione a messaggi e immagini sessualizzanti e </w:t>
      </w:r>
      <w:r w:rsidR="00A42605">
        <w:rPr>
          <w:rFonts w:ascii="Times New Roman" w:eastAsia="Calibri" w:hAnsi="Times New Roman" w:cs="Times New Roman"/>
          <w:sz w:val="24"/>
          <w:szCs w:val="24"/>
        </w:rPr>
        <w:t>si riferisce a</w:t>
      </w:r>
      <w:r w:rsidR="00F92149">
        <w:rPr>
          <w:rFonts w:ascii="Times New Roman" w:eastAsia="Calibri" w:hAnsi="Times New Roman" w:cs="Times New Roman"/>
          <w:sz w:val="24"/>
          <w:szCs w:val="24"/>
        </w:rPr>
        <w:t>ll’interiorizzazione dell’idea che</w:t>
      </w:r>
      <w:r w:rsidR="00EE343D">
        <w:rPr>
          <w:rFonts w:ascii="Times New Roman" w:eastAsia="Calibri" w:hAnsi="Times New Roman" w:cs="Times New Roman"/>
          <w:sz w:val="24"/>
          <w:szCs w:val="24"/>
        </w:rPr>
        <w:t xml:space="preserve"> il valore di una donna si basi </w:t>
      </w:r>
      <w:r w:rsidR="004046F2">
        <w:rPr>
          <w:rFonts w:ascii="Times New Roman" w:eastAsia="Calibri" w:hAnsi="Times New Roman" w:cs="Times New Roman"/>
          <w:sz w:val="24"/>
          <w:szCs w:val="24"/>
        </w:rPr>
        <w:t xml:space="preserve">esclusivamente </w:t>
      </w:r>
      <w:r w:rsidR="00EE343D">
        <w:rPr>
          <w:rFonts w:ascii="Times New Roman" w:eastAsia="Calibri" w:hAnsi="Times New Roman" w:cs="Times New Roman"/>
          <w:sz w:val="24"/>
          <w:szCs w:val="24"/>
        </w:rPr>
        <w:t xml:space="preserve">sulla sua </w:t>
      </w:r>
      <w:r w:rsidR="004046F2">
        <w:rPr>
          <w:rFonts w:ascii="Times New Roman" w:eastAsia="Calibri" w:hAnsi="Times New Roman" w:cs="Times New Roman"/>
          <w:sz w:val="24"/>
          <w:szCs w:val="24"/>
        </w:rPr>
        <w:t>attrattività sessuale</w:t>
      </w:r>
      <w:r w:rsidR="0006346B">
        <w:rPr>
          <w:rFonts w:ascii="Times New Roman" w:eastAsia="Calibri" w:hAnsi="Times New Roman" w:cs="Times New Roman"/>
          <w:sz w:val="24"/>
          <w:szCs w:val="24"/>
        </w:rPr>
        <w:t xml:space="preserve">, che deve quindi essere prioritaria rispetto ad altre qualità ritenute incompatibili (come l’intelligenza; </w:t>
      </w:r>
      <w:r w:rsidR="002E371C">
        <w:rPr>
          <w:rFonts w:ascii="Times New Roman" w:eastAsia="Calibri" w:hAnsi="Times New Roman" w:cs="Times New Roman"/>
          <w:sz w:val="24"/>
          <w:szCs w:val="24"/>
        </w:rPr>
        <w:t xml:space="preserve">APA, 2007; </w:t>
      </w:r>
      <w:proofErr w:type="spellStart"/>
      <w:r w:rsidR="0006346B">
        <w:rPr>
          <w:rFonts w:ascii="Times New Roman" w:eastAsia="Calibri" w:hAnsi="Times New Roman" w:cs="Times New Roman"/>
          <w:sz w:val="24"/>
          <w:szCs w:val="24"/>
        </w:rPr>
        <w:t>Bigler</w:t>
      </w:r>
      <w:proofErr w:type="spellEnd"/>
      <w:r w:rsidR="0006346B">
        <w:rPr>
          <w:rFonts w:ascii="Times New Roman" w:eastAsia="Calibri" w:hAnsi="Times New Roman" w:cs="Times New Roman"/>
          <w:sz w:val="24"/>
          <w:szCs w:val="24"/>
        </w:rPr>
        <w:t xml:space="preserve"> et al. 2019</w:t>
      </w:r>
      <w:r w:rsidR="00E15D69">
        <w:rPr>
          <w:rFonts w:ascii="Times New Roman" w:eastAsia="Calibri" w:hAnsi="Times New Roman" w:cs="Times New Roman"/>
          <w:sz w:val="24"/>
          <w:szCs w:val="24"/>
        </w:rPr>
        <w:t>).</w:t>
      </w:r>
      <w:r w:rsidR="009200EB">
        <w:rPr>
          <w:rFonts w:ascii="Times New Roman" w:eastAsia="Calibri" w:hAnsi="Times New Roman" w:cs="Times New Roman"/>
          <w:sz w:val="24"/>
          <w:szCs w:val="24"/>
        </w:rPr>
        <w:t xml:space="preserve"> </w:t>
      </w:r>
      <w:r w:rsidR="002A79D3" w:rsidRPr="002A79D3">
        <w:rPr>
          <w:rFonts w:ascii="Times New Roman" w:eastAsia="Calibri" w:hAnsi="Times New Roman" w:cs="Times New Roman"/>
          <w:sz w:val="24"/>
          <w:szCs w:val="24"/>
        </w:rPr>
        <w:t xml:space="preserve">È ragionevole ipotizzare che queste aspettative si associno alla convinzione che l’aggressività dei maschi sia scusabile, mentre le donne debbano subire senza reagire, aumentando così il rischio di accettare ed essere vittime di aggressioni sessuali. </w:t>
      </w:r>
    </w:p>
    <w:p w14:paraId="5DF35779" w14:textId="77777777" w:rsidR="002A79D3" w:rsidRDefault="00A7328C" w:rsidP="002A79D3">
      <w:pPr>
        <w:tabs>
          <w:tab w:val="left" w:pos="238"/>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Questo</w:t>
      </w:r>
      <w:r w:rsidR="0015603E">
        <w:rPr>
          <w:rFonts w:ascii="Times New Roman" w:eastAsia="Calibri" w:hAnsi="Times New Roman" w:cs="Times New Roman"/>
          <w:sz w:val="24"/>
          <w:szCs w:val="24"/>
        </w:rPr>
        <w:t xml:space="preserve"> progetto intend</w:t>
      </w:r>
      <w:r>
        <w:rPr>
          <w:rFonts w:ascii="Times New Roman" w:eastAsia="Calibri" w:hAnsi="Times New Roman" w:cs="Times New Roman"/>
          <w:sz w:val="24"/>
          <w:szCs w:val="24"/>
        </w:rPr>
        <w:t>e</w:t>
      </w:r>
      <w:r w:rsidR="0015603E">
        <w:rPr>
          <w:rFonts w:ascii="Times New Roman" w:eastAsia="Calibri" w:hAnsi="Times New Roman" w:cs="Times New Roman"/>
          <w:sz w:val="24"/>
          <w:szCs w:val="24"/>
        </w:rPr>
        <w:t xml:space="preserve"> analizzare </w:t>
      </w:r>
      <w:r>
        <w:rPr>
          <w:rFonts w:ascii="Times New Roman" w:eastAsia="Calibri" w:hAnsi="Times New Roman" w:cs="Times New Roman"/>
          <w:sz w:val="24"/>
          <w:szCs w:val="24"/>
        </w:rPr>
        <w:t>le relazioni tra</w:t>
      </w:r>
      <w:r w:rsidR="00D60F07">
        <w:rPr>
          <w:rFonts w:ascii="Times New Roman" w:eastAsia="Calibri" w:hAnsi="Times New Roman" w:cs="Times New Roman"/>
          <w:sz w:val="24"/>
          <w:szCs w:val="24"/>
        </w:rPr>
        <w:t xml:space="preserve"> sessualizzazione interiorizzata</w:t>
      </w:r>
      <w:r>
        <w:rPr>
          <w:rFonts w:ascii="Times New Roman" w:eastAsia="Calibri" w:hAnsi="Times New Roman" w:cs="Times New Roman"/>
          <w:sz w:val="24"/>
          <w:szCs w:val="24"/>
        </w:rPr>
        <w:t>,</w:t>
      </w:r>
      <w:r w:rsidR="00255F34">
        <w:rPr>
          <w:rFonts w:ascii="Times New Roman" w:eastAsia="Calibri" w:hAnsi="Times New Roman" w:cs="Times New Roman"/>
          <w:sz w:val="24"/>
          <w:szCs w:val="24"/>
        </w:rPr>
        <w:t xml:space="preserve"> fattori ideologici quali il sessismo e l’adesione alle norme tradizionali di genere</w:t>
      </w:r>
      <w:r>
        <w:rPr>
          <w:rFonts w:ascii="Times New Roman" w:eastAsia="Calibri" w:hAnsi="Times New Roman" w:cs="Times New Roman"/>
          <w:sz w:val="24"/>
          <w:szCs w:val="24"/>
        </w:rPr>
        <w:t>, e</w:t>
      </w:r>
      <w:r w:rsidR="00491C9C">
        <w:rPr>
          <w:rFonts w:ascii="Times New Roman" w:eastAsia="Calibri" w:hAnsi="Times New Roman" w:cs="Times New Roman"/>
          <w:sz w:val="24"/>
          <w:szCs w:val="24"/>
        </w:rPr>
        <w:t xml:space="preserve"> la capacità di riconoscere tempestivamente il rischio di violenza insito in alcune situazioni. </w:t>
      </w:r>
    </w:p>
    <w:p w14:paraId="14F8B32B" w14:textId="44F3F463" w:rsidR="00491C9C" w:rsidRDefault="00B23E83" w:rsidP="002A79D3">
      <w:pPr>
        <w:tabs>
          <w:tab w:val="left" w:pos="238"/>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 ricerca coinvolgerà giovani studentesse universitarie, poiché </w:t>
      </w:r>
      <w:r w:rsidR="00B4277A">
        <w:rPr>
          <w:rFonts w:ascii="Times New Roman" w:eastAsia="Calibri" w:hAnsi="Times New Roman" w:cs="Times New Roman"/>
          <w:sz w:val="24"/>
          <w:szCs w:val="24"/>
        </w:rPr>
        <w:t>è proprio</w:t>
      </w:r>
      <w:r w:rsidR="00B4277A" w:rsidRPr="00B4277A">
        <w:rPr>
          <w:rFonts w:ascii="Times New Roman" w:eastAsia="Calibri" w:hAnsi="Times New Roman" w:cs="Times New Roman"/>
          <w:sz w:val="24"/>
          <w:szCs w:val="24"/>
        </w:rPr>
        <w:t xml:space="preserve"> nella prima età adulta (</w:t>
      </w:r>
      <w:proofErr w:type="spellStart"/>
      <w:r w:rsidR="00B4277A" w:rsidRPr="00560994">
        <w:rPr>
          <w:rFonts w:ascii="Times New Roman" w:eastAsia="Calibri" w:hAnsi="Times New Roman" w:cs="Times New Roman"/>
          <w:i/>
          <w:iCs/>
          <w:sz w:val="24"/>
          <w:szCs w:val="24"/>
        </w:rPr>
        <w:t>emerging</w:t>
      </w:r>
      <w:proofErr w:type="spellEnd"/>
      <w:r w:rsidR="00B4277A" w:rsidRPr="00560994">
        <w:rPr>
          <w:rFonts w:ascii="Times New Roman" w:eastAsia="Calibri" w:hAnsi="Times New Roman" w:cs="Times New Roman"/>
          <w:i/>
          <w:iCs/>
          <w:sz w:val="24"/>
          <w:szCs w:val="24"/>
        </w:rPr>
        <w:t xml:space="preserve"> </w:t>
      </w:r>
      <w:proofErr w:type="spellStart"/>
      <w:r w:rsidR="00B4277A" w:rsidRPr="00560994">
        <w:rPr>
          <w:rFonts w:ascii="Times New Roman" w:eastAsia="Calibri" w:hAnsi="Times New Roman" w:cs="Times New Roman"/>
          <w:i/>
          <w:iCs/>
          <w:sz w:val="24"/>
          <w:szCs w:val="24"/>
        </w:rPr>
        <w:t>adulthood</w:t>
      </w:r>
      <w:proofErr w:type="spellEnd"/>
      <w:r w:rsidR="00B4277A" w:rsidRPr="00B4277A">
        <w:rPr>
          <w:rFonts w:ascii="Times New Roman" w:eastAsia="Calibri" w:hAnsi="Times New Roman" w:cs="Times New Roman"/>
          <w:sz w:val="24"/>
          <w:szCs w:val="24"/>
        </w:rPr>
        <w:t xml:space="preserve">; Arnett, 2015) </w:t>
      </w:r>
      <w:r w:rsidR="00B4277A">
        <w:rPr>
          <w:rFonts w:ascii="Times New Roman" w:eastAsia="Calibri" w:hAnsi="Times New Roman" w:cs="Times New Roman"/>
          <w:sz w:val="24"/>
          <w:szCs w:val="24"/>
        </w:rPr>
        <w:t xml:space="preserve">che </w:t>
      </w:r>
      <w:r w:rsidR="00B4277A" w:rsidRPr="00B4277A">
        <w:rPr>
          <w:rFonts w:ascii="Times New Roman" w:eastAsia="Calibri" w:hAnsi="Times New Roman" w:cs="Times New Roman"/>
          <w:sz w:val="24"/>
          <w:szCs w:val="24"/>
        </w:rPr>
        <w:t>le</w:t>
      </w:r>
      <w:r w:rsidR="001A0FAA">
        <w:rPr>
          <w:rFonts w:ascii="Times New Roman" w:eastAsia="Calibri" w:hAnsi="Times New Roman" w:cs="Times New Roman"/>
          <w:sz w:val="24"/>
          <w:szCs w:val="24"/>
        </w:rPr>
        <w:t xml:space="preserve"> credenze relative alle norme socio-culturali sui comportamenti e i ruoli sessuali </w:t>
      </w:r>
      <w:r w:rsidR="00B4277A" w:rsidRPr="00B4277A">
        <w:rPr>
          <w:rFonts w:ascii="Times New Roman" w:eastAsia="Calibri" w:hAnsi="Times New Roman" w:cs="Times New Roman"/>
          <w:sz w:val="24"/>
          <w:szCs w:val="24"/>
        </w:rPr>
        <w:t xml:space="preserve">giocano un ruolo fondamentale </w:t>
      </w:r>
      <w:r w:rsidR="008B476A">
        <w:rPr>
          <w:rFonts w:ascii="Times New Roman" w:eastAsia="Calibri" w:hAnsi="Times New Roman" w:cs="Times New Roman"/>
          <w:sz w:val="24"/>
          <w:szCs w:val="24"/>
        </w:rPr>
        <w:t>in relazione alla</w:t>
      </w:r>
      <w:r w:rsidR="00B4277A" w:rsidRPr="00B4277A">
        <w:rPr>
          <w:rFonts w:ascii="Times New Roman" w:eastAsia="Calibri" w:hAnsi="Times New Roman" w:cs="Times New Roman"/>
          <w:sz w:val="24"/>
          <w:szCs w:val="24"/>
        </w:rPr>
        <w:t xml:space="preserve"> capacità di riconoscere </w:t>
      </w:r>
      <w:r w:rsidR="00D01531">
        <w:rPr>
          <w:rFonts w:ascii="Times New Roman" w:eastAsia="Calibri" w:hAnsi="Times New Roman" w:cs="Times New Roman"/>
          <w:sz w:val="24"/>
          <w:szCs w:val="24"/>
        </w:rPr>
        <w:t>il</w:t>
      </w:r>
      <w:r w:rsidR="00B4277A" w:rsidRPr="00B4277A">
        <w:rPr>
          <w:rFonts w:ascii="Times New Roman" w:eastAsia="Calibri" w:hAnsi="Times New Roman" w:cs="Times New Roman"/>
          <w:sz w:val="24"/>
          <w:szCs w:val="24"/>
        </w:rPr>
        <w:t xml:space="preserve"> rischio</w:t>
      </w:r>
      <w:r w:rsidR="00B4277A">
        <w:rPr>
          <w:rFonts w:ascii="Times New Roman" w:eastAsia="Calibri" w:hAnsi="Times New Roman" w:cs="Times New Roman"/>
          <w:sz w:val="24"/>
          <w:szCs w:val="24"/>
        </w:rPr>
        <w:t xml:space="preserve"> </w:t>
      </w:r>
      <w:r w:rsidR="000352A5">
        <w:rPr>
          <w:rFonts w:ascii="Times New Roman" w:eastAsia="Calibri" w:hAnsi="Times New Roman" w:cs="Times New Roman"/>
          <w:sz w:val="24"/>
          <w:szCs w:val="24"/>
        </w:rPr>
        <w:t>(Sheare</w:t>
      </w:r>
      <w:r w:rsidR="001343A7">
        <w:rPr>
          <w:rFonts w:ascii="Times New Roman" w:eastAsia="Calibri" w:hAnsi="Times New Roman" w:cs="Times New Roman"/>
          <w:sz w:val="24"/>
          <w:szCs w:val="24"/>
        </w:rPr>
        <w:t xml:space="preserve">r et al. 2005). </w:t>
      </w:r>
      <w:r w:rsidR="00B4277A" w:rsidRPr="00B4277A">
        <w:rPr>
          <w:rFonts w:ascii="Times New Roman" w:eastAsia="Calibri" w:hAnsi="Times New Roman" w:cs="Times New Roman"/>
          <w:sz w:val="24"/>
          <w:szCs w:val="24"/>
        </w:rPr>
        <w:t xml:space="preserve">  </w:t>
      </w:r>
    </w:p>
    <w:p w14:paraId="7BEA3F4A" w14:textId="562513E1" w:rsidR="00603AEE" w:rsidRPr="00D371FC" w:rsidRDefault="00603AEE" w:rsidP="002D45E5">
      <w:pPr>
        <w:tabs>
          <w:tab w:val="left" w:pos="238"/>
        </w:tabs>
        <w:autoSpaceDE w:val="0"/>
        <w:autoSpaceDN w:val="0"/>
        <w:adjustRightInd w:val="0"/>
        <w:spacing w:after="0" w:line="240" w:lineRule="auto"/>
        <w:ind w:firstLine="709"/>
        <w:rPr>
          <w:rFonts w:ascii="Times New Roman" w:eastAsia="Calibri" w:hAnsi="Times New Roman" w:cs="Times New Roman"/>
          <w:sz w:val="24"/>
          <w:szCs w:val="24"/>
        </w:rPr>
      </w:pPr>
    </w:p>
    <w:p w14:paraId="556453BB" w14:textId="3D6F66BA" w:rsidR="002D45E5" w:rsidRDefault="00E81426" w:rsidP="00E81426">
      <w:pPr>
        <w:tabs>
          <w:tab w:val="left" w:pos="238"/>
        </w:tabs>
        <w:autoSpaceDE w:val="0"/>
        <w:autoSpaceDN w:val="0"/>
        <w:adjustRightInd w:val="0"/>
        <w:spacing w:after="0" w:line="240" w:lineRule="auto"/>
        <w:rPr>
          <w:rFonts w:ascii="Times New Roman" w:eastAsia="Calibri" w:hAnsi="Times New Roman" w:cs="Times New Roman"/>
          <w:sz w:val="24"/>
          <w:szCs w:val="24"/>
        </w:rPr>
      </w:pPr>
      <w:r w:rsidRPr="00150F8C">
        <w:rPr>
          <w:rFonts w:ascii="Times New Roman" w:eastAsia="Calibri" w:hAnsi="Times New Roman" w:cs="Times New Roman"/>
          <w:b/>
          <w:bCs/>
          <w:sz w:val="24"/>
          <w:szCs w:val="24"/>
        </w:rPr>
        <w:t>Obiettivo 1:</w:t>
      </w:r>
      <w:r>
        <w:rPr>
          <w:rFonts w:ascii="Times New Roman" w:eastAsia="Calibri" w:hAnsi="Times New Roman" w:cs="Times New Roman"/>
          <w:sz w:val="24"/>
          <w:szCs w:val="24"/>
        </w:rPr>
        <w:t xml:space="preserve"> Indagare</w:t>
      </w:r>
      <w:r w:rsidR="002D45E5" w:rsidRPr="00E81426">
        <w:rPr>
          <w:rFonts w:ascii="Times New Roman" w:eastAsia="Calibri" w:hAnsi="Times New Roman" w:cs="Times New Roman"/>
          <w:sz w:val="24"/>
          <w:szCs w:val="24"/>
        </w:rPr>
        <w:t xml:space="preserve"> se </w:t>
      </w:r>
      <w:r w:rsidRPr="00E81426">
        <w:rPr>
          <w:rFonts w:ascii="Times New Roman" w:eastAsia="Calibri" w:hAnsi="Times New Roman" w:cs="Times New Roman"/>
          <w:sz w:val="24"/>
          <w:szCs w:val="24"/>
        </w:rPr>
        <w:t xml:space="preserve">maggiore </w:t>
      </w:r>
      <w:r w:rsidR="005F2849">
        <w:rPr>
          <w:rFonts w:ascii="Times New Roman" w:eastAsia="Calibri" w:hAnsi="Times New Roman" w:cs="Times New Roman"/>
          <w:sz w:val="24"/>
          <w:szCs w:val="24"/>
        </w:rPr>
        <w:t>sessualizzazione interiorizzata</w:t>
      </w:r>
      <w:r w:rsidR="002D45E5" w:rsidRPr="00E81426">
        <w:rPr>
          <w:rFonts w:ascii="Times New Roman" w:eastAsia="Calibri" w:hAnsi="Times New Roman" w:cs="Times New Roman"/>
          <w:sz w:val="24"/>
          <w:szCs w:val="24"/>
        </w:rPr>
        <w:t>, adesione alle norme di genere</w:t>
      </w:r>
      <w:r w:rsidRPr="00E81426">
        <w:rPr>
          <w:rFonts w:ascii="Times New Roman" w:eastAsia="Calibri" w:hAnsi="Times New Roman" w:cs="Times New Roman"/>
          <w:sz w:val="24"/>
          <w:szCs w:val="24"/>
        </w:rPr>
        <w:t xml:space="preserve"> e</w:t>
      </w:r>
      <w:r w:rsidR="002D45E5" w:rsidRPr="00E81426">
        <w:rPr>
          <w:rFonts w:ascii="Times New Roman" w:eastAsia="Calibri" w:hAnsi="Times New Roman" w:cs="Times New Roman"/>
          <w:sz w:val="24"/>
          <w:szCs w:val="24"/>
        </w:rPr>
        <w:t xml:space="preserve"> sessismo </w:t>
      </w:r>
      <w:r w:rsidRPr="00E81426">
        <w:rPr>
          <w:rFonts w:ascii="Times New Roman" w:eastAsia="Calibri" w:hAnsi="Times New Roman" w:cs="Times New Roman"/>
          <w:sz w:val="24"/>
          <w:szCs w:val="24"/>
        </w:rPr>
        <w:t xml:space="preserve">siano associati ad una minor propensione a riconoscere </w:t>
      </w:r>
      <w:r w:rsidR="00A7328C">
        <w:rPr>
          <w:rFonts w:ascii="Times New Roman" w:eastAsia="Calibri" w:hAnsi="Times New Roman" w:cs="Times New Roman"/>
          <w:sz w:val="24"/>
          <w:szCs w:val="24"/>
        </w:rPr>
        <w:t>il</w:t>
      </w:r>
      <w:r w:rsidRPr="00E81426">
        <w:rPr>
          <w:rFonts w:ascii="Times New Roman" w:eastAsia="Calibri" w:hAnsi="Times New Roman" w:cs="Times New Roman"/>
          <w:sz w:val="24"/>
          <w:szCs w:val="24"/>
        </w:rPr>
        <w:t xml:space="preserve"> rischio </w:t>
      </w:r>
      <w:r w:rsidR="00472C38">
        <w:rPr>
          <w:rFonts w:ascii="Times New Roman" w:eastAsia="Calibri" w:hAnsi="Times New Roman" w:cs="Times New Roman"/>
          <w:sz w:val="24"/>
          <w:szCs w:val="24"/>
        </w:rPr>
        <w:t>e a maggiori esperienze di</w:t>
      </w:r>
      <w:r w:rsidR="00D01531">
        <w:rPr>
          <w:rFonts w:ascii="Times New Roman" w:eastAsia="Calibri" w:hAnsi="Times New Roman" w:cs="Times New Roman"/>
          <w:sz w:val="24"/>
          <w:szCs w:val="24"/>
        </w:rPr>
        <w:t xml:space="preserve"> </w:t>
      </w:r>
      <w:r w:rsidR="00605D40">
        <w:rPr>
          <w:rFonts w:ascii="Times New Roman" w:eastAsia="Calibri" w:hAnsi="Times New Roman" w:cs="Times New Roman"/>
          <w:sz w:val="24"/>
          <w:szCs w:val="24"/>
        </w:rPr>
        <w:t>vittimizzazione</w:t>
      </w:r>
      <w:r w:rsidR="00D01531">
        <w:rPr>
          <w:rFonts w:ascii="Times New Roman" w:eastAsia="Calibri" w:hAnsi="Times New Roman" w:cs="Times New Roman"/>
          <w:sz w:val="24"/>
          <w:szCs w:val="24"/>
        </w:rPr>
        <w:t>.</w:t>
      </w:r>
      <w:r w:rsidRPr="00E81426">
        <w:rPr>
          <w:rFonts w:ascii="Times New Roman" w:eastAsia="Calibri" w:hAnsi="Times New Roman" w:cs="Times New Roman"/>
          <w:sz w:val="24"/>
          <w:szCs w:val="24"/>
        </w:rPr>
        <w:t xml:space="preserve"> </w:t>
      </w:r>
      <w:r w:rsidR="004C6CA2">
        <w:rPr>
          <w:rFonts w:ascii="Times New Roman" w:eastAsia="Calibri" w:hAnsi="Times New Roman" w:cs="Times New Roman"/>
          <w:sz w:val="24"/>
          <w:szCs w:val="24"/>
        </w:rPr>
        <w:t>Approfondire il ruolo dei contesti di provenienza (ambiente fisico, familiare e sociale) nel</w:t>
      </w:r>
      <w:r w:rsidR="008B476A">
        <w:rPr>
          <w:rFonts w:ascii="Times New Roman" w:eastAsia="Calibri" w:hAnsi="Times New Roman" w:cs="Times New Roman"/>
          <w:sz w:val="24"/>
          <w:szCs w:val="24"/>
        </w:rPr>
        <w:t xml:space="preserve"> modulare tali relazioni</w:t>
      </w:r>
      <w:r w:rsidR="004C6CA2">
        <w:rPr>
          <w:rFonts w:ascii="Times New Roman" w:eastAsia="Calibri" w:hAnsi="Times New Roman" w:cs="Times New Roman"/>
          <w:sz w:val="24"/>
          <w:szCs w:val="24"/>
        </w:rPr>
        <w:t xml:space="preserve">.  </w:t>
      </w:r>
    </w:p>
    <w:p w14:paraId="5ADBADDE" w14:textId="73C93DE3" w:rsidR="007E60BF" w:rsidRDefault="007E60BF" w:rsidP="007E60BF">
      <w:pPr>
        <w:tabs>
          <w:tab w:val="left" w:pos="238"/>
        </w:tabs>
        <w:autoSpaceDE w:val="0"/>
        <w:autoSpaceDN w:val="0"/>
        <w:adjustRightInd w:val="0"/>
        <w:spacing w:after="0" w:line="240" w:lineRule="auto"/>
        <w:rPr>
          <w:rFonts w:ascii="Times New Roman" w:eastAsia="Calibri" w:hAnsi="Times New Roman" w:cs="Times New Roman"/>
          <w:sz w:val="24"/>
          <w:szCs w:val="24"/>
        </w:rPr>
      </w:pPr>
      <w:r w:rsidRPr="00472C38">
        <w:rPr>
          <w:rFonts w:ascii="Times New Roman" w:eastAsia="Calibri" w:hAnsi="Times New Roman" w:cs="Times New Roman"/>
          <w:b/>
          <w:bCs/>
          <w:sz w:val="24"/>
          <w:szCs w:val="24"/>
        </w:rPr>
        <w:t xml:space="preserve">Obiettivo </w:t>
      </w:r>
      <w:r>
        <w:rPr>
          <w:rFonts w:ascii="Times New Roman" w:eastAsia="Calibri" w:hAnsi="Times New Roman" w:cs="Times New Roman"/>
          <w:b/>
          <w:bCs/>
          <w:sz w:val="24"/>
          <w:szCs w:val="24"/>
        </w:rPr>
        <w:t>2</w:t>
      </w:r>
      <w:r w:rsidRPr="00472C38">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Indagare</w:t>
      </w:r>
      <w:r w:rsidR="00D01531">
        <w:rPr>
          <w:rFonts w:ascii="Times New Roman" w:eastAsia="Calibri" w:hAnsi="Times New Roman" w:cs="Times New Roman"/>
          <w:sz w:val="24"/>
          <w:szCs w:val="24"/>
        </w:rPr>
        <w:t xml:space="preserve"> eventuali cambiamenti nelle ideologie legate ai ruoli di genere e nella percezione di rischio durante la prima età adulta, in </w:t>
      </w:r>
      <w:r w:rsidR="00A7328C">
        <w:rPr>
          <w:rFonts w:ascii="Times New Roman" w:eastAsia="Calibri" w:hAnsi="Times New Roman" w:cs="Times New Roman"/>
          <w:sz w:val="24"/>
          <w:szCs w:val="24"/>
        </w:rPr>
        <w:t>relazione alla</w:t>
      </w:r>
      <w:r>
        <w:rPr>
          <w:rFonts w:ascii="Times New Roman" w:eastAsia="Calibri" w:hAnsi="Times New Roman" w:cs="Times New Roman"/>
          <w:sz w:val="24"/>
          <w:szCs w:val="24"/>
        </w:rPr>
        <w:t xml:space="preserve"> socializzazione alla vita universitaria. </w:t>
      </w:r>
    </w:p>
    <w:p w14:paraId="5D6B31EC" w14:textId="10325CEC" w:rsidR="00EC3431" w:rsidRDefault="00EC3431" w:rsidP="00E81426">
      <w:pPr>
        <w:tabs>
          <w:tab w:val="left" w:pos="238"/>
        </w:tabs>
        <w:autoSpaceDE w:val="0"/>
        <w:autoSpaceDN w:val="0"/>
        <w:adjustRightInd w:val="0"/>
        <w:spacing w:after="0" w:line="240" w:lineRule="auto"/>
        <w:rPr>
          <w:rFonts w:ascii="Times New Roman" w:eastAsia="Calibri" w:hAnsi="Times New Roman" w:cs="Times New Roman"/>
          <w:sz w:val="24"/>
          <w:szCs w:val="24"/>
        </w:rPr>
      </w:pPr>
      <w:r w:rsidRPr="00472C38">
        <w:rPr>
          <w:rFonts w:ascii="Times New Roman" w:eastAsia="Calibri" w:hAnsi="Times New Roman" w:cs="Times New Roman"/>
          <w:b/>
          <w:bCs/>
          <w:sz w:val="24"/>
          <w:szCs w:val="24"/>
        </w:rPr>
        <w:t xml:space="preserve">Obiettivo </w:t>
      </w:r>
      <w:r w:rsidR="00803641">
        <w:rPr>
          <w:rFonts w:ascii="Times New Roman" w:eastAsia="Calibri" w:hAnsi="Times New Roman" w:cs="Times New Roman"/>
          <w:b/>
          <w:bCs/>
          <w:sz w:val="24"/>
          <w:szCs w:val="24"/>
        </w:rPr>
        <w:t>3</w:t>
      </w:r>
      <w:r w:rsidRPr="00472C38">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Analizzare se l</w:t>
      </w:r>
      <w:r w:rsidR="008B476A">
        <w:rPr>
          <w:rFonts w:ascii="Times New Roman" w:eastAsia="Calibri" w:hAnsi="Times New Roman" w:cs="Times New Roman"/>
          <w:sz w:val="24"/>
          <w:szCs w:val="24"/>
        </w:rPr>
        <w:t xml:space="preserve">’esposizione a </w:t>
      </w:r>
      <w:r>
        <w:rPr>
          <w:rFonts w:ascii="Times New Roman" w:eastAsia="Calibri" w:hAnsi="Times New Roman" w:cs="Times New Roman"/>
          <w:sz w:val="24"/>
          <w:szCs w:val="24"/>
        </w:rPr>
        <w:t xml:space="preserve">contenuti mediatici </w:t>
      </w:r>
      <w:r w:rsidR="001343A7">
        <w:rPr>
          <w:rFonts w:ascii="Times New Roman" w:eastAsia="Calibri" w:hAnsi="Times New Roman" w:cs="Times New Roman"/>
          <w:sz w:val="24"/>
          <w:szCs w:val="24"/>
        </w:rPr>
        <w:t xml:space="preserve">sessualizzati </w:t>
      </w:r>
      <w:r w:rsidR="007A501C">
        <w:rPr>
          <w:rFonts w:ascii="Times New Roman" w:eastAsia="Calibri" w:hAnsi="Times New Roman" w:cs="Times New Roman"/>
          <w:sz w:val="24"/>
          <w:szCs w:val="24"/>
        </w:rPr>
        <w:t>diminuisca la capacità di</w:t>
      </w:r>
      <w:r>
        <w:rPr>
          <w:rFonts w:ascii="Times New Roman" w:eastAsia="Calibri" w:hAnsi="Times New Roman" w:cs="Times New Roman"/>
          <w:sz w:val="24"/>
          <w:szCs w:val="24"/>
        </w:rPr>
        <w:t xml:space="preserve"> riconoscere situazioni di rischio</w:t>
      </w:r>
      <w:r w:rsidR="007A501C">
        <w:rPr>
          <w:rFonts w:ascii="Times New Roman" w:eastAsia="Calibri" w:hAnsi="Times New Roman" w:cs="Times New Roman"/>
          <w:sz w:val="24"/>
          <w:szCs w:val="24"/>
        </w:rPr>
        <w:t xml:space="preserve"> e induca</w:t>
      </w:r>
      <w:r w:rsidR="003B4C83">
        <w:rPr>
          <w:rFonts w:ascii="Times New Roman" w:eastAsia="Calibri" w:hAnsi="Times New Roman" w:cs="Times New Roman"/>
          <w:sz w:val="24"/>
          <w:szCs w:val="24"/>
        </w:rPr>
        <w:t xml:space="preserve"> minor benessere</w:t>
      </w:r>
      <w:r w:rsidR="007A501C">
        <w:rPr>
          <w:rFonts w:ascii="Times New Roman" w:eastAsia="Calibri" w:hAnsi="Times New Roman" w:cs="Times New Roman"/>
          <w:sz w:val="24"/>
          <w:szCs w:val="24"/>
        </w:rPr>
        <w:t>,</w:t>
      </w:r>
      <w:r w:rsidR="008B476A">
        <w:rPr>
          <w:rFonts w:ascii="Times New Roman" w:eastAsia="Calibri" w:hAnsi="Times New Roman" w:cs="Times New Roman"/>
          <w:sz w:val="24"/>
          <w:szCs w:val="24"/>
        </w:rPr>
        <w:t xml:space="preserve"> maggiore </w:t>
      </w:r>
      <w:r w:rsidR="00945A1C">
        <w:rPr>
          <w:rFonts w:ascii="Times New Roman" w:eastAsia="Calibri" w:hAnsi="Times New Roman" w:cs="Times New Roman"/>
          <w:sz w:val="24"/>
          <w:szCs w:val="24"/>
        </w:rPr>
        <w:t xml:space="preserve">tolleranza verso </w:t>
      </w:r>
      <w:r w:rsidR="007A501C">
        <w:rPr>
          <w:rFonts w:ascii="Times New Roman" w:eastAsia="Calibri" w:hAnsi="Times New Roman" w:cs="Times New Roman"/>
          <w:sz w:val="24"/>
          <w:szCs w:val="24"/>
        </w:rPr>
        <w:t xml:space="preserve">gli abusi sessuali e </w:t>
      </w:r>
      <w:r w:rsidR="00946014">
        <w:rPr>
          <w:rFonts w:ascii="Times New Roman" w:eastAsia="Calibri" w:hAnsi="Times New Roman" w:cs="Times New Roman"/>
          <w:sz w:val="24"/>
          <w:szCs w:val="24"/>
        </w:rPr>
        <w:t xml:space="preserve">atteggiamenti più </w:t>
      </w:r>
      <w:r w:rsidR="00FF4F52">
        <w:rPr>
          <w:rFonts w:ascii="Times New Roman" w:eastAsia="Calibri" w:hAnsi="Times New Roman" w:cs="Times New Roman"/>
          <w:sz w:val="24"/>
          <w:szCs w:val="24"/>
        </w:rPr>
        <w:t>tolleranti</w:t>
      </w:r>
      <w:r w:rsidR="003B4C83">
        <w:rPr>
          <w:rFonts w:ascii="Times New Roman" w:eastAsia="Calibri" w:hAnsi="Times New Roman" w:cs="Times New Roman"/>
          <w:sz w:val="24"/>
          <w:szCs w:val="24"/>
        </w:rPr>
        <w:t xml:space="preserve"> verso </w:t>
      </w:r>
      <w:r w:rsidR="00FF4F52">
        <w:rPr>
          <w:rFonts w:ascii="Times New Roman" w:eastAsia="Calibri" w:hAnsi="Times New Roman" w:cs="Times New Roman"/>
          <w:sz w:val="24"/>
          <w:szCs w:val="24"/>
        </w:rPr>
        <w:t>la violenza</w:t>
      </w:r>
      <w:r w:rsidR="00B168EA">
        <w:rPr>
          <w:rFonts w:ascii="Times New Roman" w:eastAsia="Calibri" w:hAnsi="Times New Roman" w:cs="Times New Roman"/>
          <w:sz w:val="24"/>
          <w:szCs w:val="24"/>
        </w:rPr>
        <w:t xml:space="preserve"> di genere</w:t>
      </w:r>
      <w:r w:rsidR="003B4C83">
        <w:rPr>
          <w:rFonts w:ascii="Times New Roman" w:eastAsia="Calibri" w:hAnsi="Times New Roman" w:cs="Times New Roman"/>
          <w:sz w:val="24"/>
          <w:szCs w:val="24"/>
        </w:rPr>
        <w:t xml:space="preserve">. </w:t>
      </w:r>
    </w:p>
    <w:p w14:paraId="4303D208" w14:textId="0052FA8E" w:rsidR="00150F8C" w:rsidRDefault="00150F8C" w:rsidP="00F84A08">
      <w:pPr>
        <w:tabs>
          <w:tab w:val="left" w:pos="238"/>
        </w:tabs>
        <w:autoSpaceDE w:val="0"/>
        <w:autoSpaceDN w:val="0"/>
        <w:adjustRightInd w:val="0"/>
        <w:spacing w:after="0" w:line="240" w:lineRule="auto"/>
        <w:rPr>
          <w:rFonts w:ascii="Times New Roman" w:eastAsia="Calibri" w:hAnsi="Times New Roman" w:cs="Times New Roman"/>
          <w:sz w:val="24"/>
          <w:szCs w:val="24"/>
        </w:rPr>
      </w:pPr>
      <w:r w:rsidRPr="00150F8C">
        <w:rPr>
          <w:rFonts w:ascii="Times New Roman" w:eastAsia="Calibri" w:hAnsi="Times New Roman" w:cs="Times New Roman"/>
          <w:b/>
          <w:bCs/>
          <w:sz w:val="24"/>
          <w:szCs w:val="24"/>
        </w:rPr>
        <w:t>Obiettivo 4:</w:t>
      </w:r>
      <w:r>
        <w:rPr>
          <w:rFonts w:ascii="Times New Roman" w:eastAsia="Calibri" w:hAnsi="Times New Roman" w:cs="Times New Roman"/>
          <w:sz w:val="24"/>
          <w:szCs w:val="24"/>
        </w:rPr>
        <w:t xml:space="preserve"> </w:t>
      </w:r>
      <w:r w:rsidR="004C6CA2">
        <w:rPr>
          <w:rFonts w:ascii="Times New Roman" w:eastAsia="Calibri" w:hAnsi="Times New Roman" w:cs="Times New Roman"/>
          <w:sz w:val="24"/>
          <w:szCs w:val="24"/>
        </w:rPr>
        <w:t>S</w:t>
      </w:r>
      <w:r w:rsidR="008136A2">
        <w:rPr>
          <w:rFonts w:ascii="Times New Roman" w:eastAsia="Calibri" w:hAnsi="Times New Roman" w:cs="Times New Roman"/>
          <w:sz w:val="24"/>
          <w:szCs w:val="24"/>
        </w:rPr>
        <w:t xml:space="preserve">viluppare progetti di sensibilizzazione </w:t>
      </w:r>
      <w:r w:rsidR="00650B76">
        <w:rPr>
          <w:rFonts w:ascii="Times New Roman" w:eastAsia="Calibri" w:hAnsi="Times New Roman" w:cs="Times New Roman"/>
          <w:sz w:val="24"/>
          <w:szCs w:val="24"/>
        </w:rPr>
        <w:t xml:space="preserve">e linee </w:t>
      </w:r>
      <w:r w:rsidR="00650B76" w:rsidRPr="00FF4F52">
        <w:rPr>
          <w:rFonts w:ascii="Times New Roman" w:eastAsia="Calibri" w:hAnsi="Times New Roman" w:cs="Times New Roman"/>
          <w:sz w:val="24"/>
          <w:szCs w:val="24"/>
        </w:rPr>
        <w:t xml:space="preserve">guida </w:t>
      </w:r>
      <w:r w:rsidR="001343A7" w:rsidRPr="00FF4F52">
        <w:rPr>
          <w:rFonts w:ascii="Times New Roman" w:eastAsia="Calibri" w:hAnsi="Times New Roman" w:cs="Times New Roman"/>
          <w:sz w:val="24"/>
          <w:szCs w:val="24"/>
        </w:rPr>
        <w:t xml:space="preserve">per </w:t>
      </w:r>
      <w:r w:rsidR="00750912" w:rsidRPr="00FF4F52">
        <w:rPr>
          <w:rFonts w:ascii="Times New Roman" w:eastAsia="Calibri" w:hAnsi="Times New Roman" w:cs="Times New Roman"/>
          <w:sz w:val="24"/>
          <w:szCs w:val="24"/>
        </w:rPr>
        <w:t xml:space="preserve">scuole </w:t>
      </w:r>
      <w:r w:rsidR="00EC0322" w:rsidRPr="00FF4F52">
        <w:rPr>
          <w:rFonts w:ascii="Times New Roman" w:eastAsia="Calibri" w:hAnsi="Times New Roman" w:cs="Times New Roman"/>
          <w:sz w:val="24"/>
          <w:szCs w:val="24"/>
        </w:rPr>
        <w:t xml:space="preserve">e università </w:t>
      </w:r>
      <w:r w:rsidR="00650B76" w:rsidRPr="00FF4F52">
        <w:rPr>
          <w:rFonts w:ascii="Times New Roman" w:eastAsia="Calibri" w:hAnsi="Times New Roman" w:cs="Times New Roman"/>
          <w:sz w:val="24"/>
          <w:szCs w:val="24"/>
        </w:rPr>
        <w:t xml:space="preserve">che illustrino il </w:t>
      </w:r>
      <w:r w:rsidRPr="00FF4F52">
        <w:rPr>
          <w:rFonts w:ascii="Times New Roman" w:eastAsia="Calibri" w:hAnsi="Times New Roman" w:cs="Times New Roman"/>
          <w:sz w:val="24"/>
          <w:szCs w:val="24"/>
        </w:rPr>
        <w:t xml:space="preserve">ruolo </w:t>
      </w:r>
      <w:r w:rsidR="00650B76" w:rsidRPr="00FF4F52">
        <w:rPr>
          <w:rFonts w:ascii="Times New Roman" w:eastAsia="Calibri" w:hAnsi="Times New Roman" w:cs="Times New Roman"/>
          <w:sz w:val="24"/>
          <w:szCs w:val="24"/>
        </w:rPr>
        <w:t xml:space="preserve">della </w:t>
      </w:r>
      <w:r w:rsidR="00054636" w:rsidRPr="00FF4F52">
        <w:rPr>
          <w:rFonts w:ascii="Times New Roman" w:eastAsia="Calibri" w:hAnsi="Times New Roman" w:cs="Times New Roman"/>
          <w:sz w:val="24"/>
          <w:szCs w:val="24"/>
        </w:rPr>
        <w:t xml:space="preserve">sessualizzazione interiorizzata, spesso </w:t>
      </w:r>
      <w:r w:rsidR="00650B76" w:rsidRPr="00FF4F52">
        <w:rPr>
          <w:rFonts w:ascii="Times New Roman" w:eastAsia="Calibri" w:hAnsi="Times New Roman" w:cs="Times New Roman"/>
          <w:sz w:val="24"/>
          <w:szCs w:val="24"/>
        </w:rPr>
        <w:t>veicolata</w:t>
      </w:r>
      <w:r w:rsidR="00054636" w:rsidRPr="00FF4F52">
        <w:rPr>
          <w:rFonts w:ascii="Times New Roman" w:eastAsia="Calibri" w:hAnsi="Times New Roman" w:cs="Times New Roman"/>
          <w:sz w:val="24"/>
          <w:szCs w:val="24"/>
        </w:rPr>
        <w:t xml:space="preserve"> da media e social-media, </w:t>
      </w:r>
      <w:r w:rsidR="00650B76" w:rsidRPr="00FF4F52">
        <w:rPr>
          <w:rFonts w:ascii="Times New Roman" w:eastAsia="Calibri" w:hAnsi="Times New Roman" w:cs="Times New Roman"/>
          <w:sz w:val="24"/>
          <w:szCs w:val="24"/>
        </w:rPr>
        <w:t xml:space="preserve">nel ridurre le capacità delle ragazze </w:t>
      </w:r>
      <w:r w:rsidRPr="00FF4F52">
        <w:rPr>
          <w:rFonts w:ascii="Times New Roman" w:eastAsia="Calibri" w:hAnsi="Times New Roman" w:cs="Times New Roman"/>
          <w:sz w:val="24"/>
          <w:szCs w:val="24"/>
        </w:rPr>
        <w:t>di riconoscere le situazioni di rischio</w:t>
      </w:r>
      <w:r>
        <w:rPr>
          <w:rFonts w:ascii="Times New Roman" w:eastAsia="Calibri" w:hAnsi="Times New Roman" w:cs="Times New Roman"/>
          <w:sz w:val="24"/>
          <w:szCs w:val="24"/>
        </w:rPr>
        <w:t xml:space="preserve"> di violenza. </w:t>
      </w:r>
    </w:p>
    <w:p w14:paraId="0C557CF5" w14:textId="0731934A" w:rsidR="00EC3431" w:rsidRPr="00E81426" w:rsidRDefault="00EC3431" w:rsidP="00E81426">
      <w:pPr>
        <w:tabs>
          <w:tab w:val="left" w:pos="238"/>
        </w:tabs>
        <w:autoSpaceDE w:val="0"/>
        <w:autoSpaceDN w:val="0"/>
        <w:adjustRightInd w:val="0"/>
        <w:spacing w:after="0" w:line="240" w:lineRule="auto"/>
        <w:rPr>
          <w:rFonts w:ascii="Times New Roman" w:eastAsia="Calibri" w:hAnsi="Times New Roman" w:cs="Times New Roman"/>
          <w:sz w:val="24"/>
          <w:szCs w:val="24"/>
        </w:rPr>
      </w:pPr>
    </w:p>
    <w:p w14:paraId="4657D465" w14:textId="327C088D" w:rsidR="00FB6A15" w:rsidRDefault="00FB6A15" w:rsidP="00FB6A15">
      <w:pPr>
        <w:tabs>
          <w:tab w:val="left" w:pos="238"/>
        </w:tabs>
        <w:autoSpaceDE w:val="0"/>
        <w:autoSpaceDN w:val="0"/>
        <w:adjustRightInd w:val="0"/>
        <w:spacing w:after="0" w:line="240" w:lineRule="auto"/>
        <w:ind w:firstLine="709"/>
        <w:rPr>
          <w:rFonts w:ascii="Times New Roman" w:eastAsia="Calibri" w:hAnsi="Times New Roman" w:cs="Times New Roman"/>
          <w:sz w:val="24"/>
          <w:szCs w:val="24"/>
        </w:rPr>
      </w:pPr>
    </w:p>
    <w:p w14:paraId="5B60C53D" w14:textId="2A7BA1F5" w:rsidR="00FB6A15" w:rsidRDefault="00FB6A15" w:rsidP="00FB6A15">
      <w:pPr>
        <w:tabs>
          <w:tab w:val="left" w:pos="238"/>
        </w:tabs>
        <w:autoSpaceDE w:val="0"/>
        <w:autoSpaceDN w:val="0"/>
        <w:adjustRightInd w:val="0"/>
        <w:spacing w:after="0" w:line="240" w:lineRule="auto"/>
        <w:ind w:firstLine="709"/>
        <w:rPr>
          <w:rFonts w:ascii="Times New Roman" w:eastAsia="Calibri" w:hAnsi="Times New Roman" w:cs="Times New Roman"/>
          <w:sz w:val="24"/>
          <w:szCs w:val="24"/>
        </w:rPr>
      </w:pPr>
    </w:p>
    <w:p w14:paraId="640103F3" w14:textId="77777777" w:rsidR="00FB6A15" w:rsidRDefault="00FB6A15" w:rsidP="00FB6A15">
      <w:pPr>
        <w:tabs>
          <w:tab w:val="left" w:pos="238"/>
        </w:tabs>
        <w:autoSpaceDE w:val="0"/>
        <w:autoSpaceDN w:val="0"/>
        <w:adjustRightInd w:val="0"/>
        <w:spacing w:after="0" w:line="240" w:lineRule="auto"/>
        <w:ind w:firstLine="709"/>
        <w:rPr>
          <w:rFonts w:ascii="Times New Roman" w:eastAsia="Calibri" w:hAnsi="Times New Roman" w:cs="Times New Roman"/>
          <w:sz w:val="24"/>
          <w:szCs w:val="24"/>
        </w:rPr>
      </w:pPr>
    </w:p>
    <w:p w14:paraId="5F7D39E8" w14:textId="77777777" w:rsidR="00386B5A" w:rsidRDefault="00386B5A" w:rsidP="00386B5A">
      <w:pPr>
        <w:tabs>
          <w:tab w:val="left" w:pos="238"/>
        </w:tabs>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Attività e </w:t>
      </w:r>
      <w:proofErr w:type="spellStart"/>
      <w:r>
        <w:rPr>
          <w:rFonts w:ascii="Times New Roman" w:eastAsia="Calibri" w:hAnsi="Times New Roman" w:cs="Times New Roman"/>
          <w:b/>
          <w:bCs/>
          <w:sz w:val="24"/>
          <w:szCs w:val="24"/>
        </w:rPr>
        <w:t>workplan</w:t>
      </w:r>
      <w:proofErr w:type="spellEnd"/>
      <w:r>
        <w:rPr>
          <w:rFonts w:ascii="Times New Roman" w:eastAsia="Calibri" w:hAnsi="Times New Roman" w:cs="Times New Roman"/>
          <w:b/>
          <w:bCs/>
          <w:sz w:val="24"/>
          <w:szCs w:val="24"/>
        </w:rPr>
        <w:t xml:space="preserve"> in relazione agli obiettivi</w:t>
      </w:r>
    </w:p>
    <w:p w14:paraId="62236EEB" w14:textId="77777777" w:rsidR="00386B5A" w:rsidRDefault="00386B5A" w:rsidP="00386B5A">
      <w:pPr>
        <w:tabs>
          <w:tab w:val="left" w:pos="238"/>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Saranno condotti due studi correlazionali (Studio 1a, 1b), misurando le medesime variabili a distanza di 6 mesi (ottobre 2022-maggio 2023). Lo studio 1a ha già ricevuto l’approvazione dal Comitato di Bioetica dell’Università di Bologna. Sarà condotto uno studio sperimentale (studio 2), con relativo </w:t>
      </w:r>
      <w:proofErr w:type="spellStart"/>
      <w:r>
        <w:rPr>
          <w:rFonts w:ascii="Times New Roman" w:eastAsia="Calibri" w:hAnsi="Times New Roman" w:cs="Times New Roman"/>
          <w:sz w:val="24"/>
          <w:szCs w:val="24"/>
        </w:rPr>
        <w:t>pre</w:t>
      </w:r>
      <w:proofErr w:type="spellEnd"/>
      <w:r>
        <w:rPr>
          <w:rFonts w:ascii="Times New Roman" w:eastAsia="Calibri" w:hAnsi="Times New Roman" w:cs="Times New Roman"/>
          <w:sz w:val="24"/>
          <w:szCs w:val="24"/>
        </w:rPr>
        <w:t xml:space="preserve">-test, tra novembre 2022 e marzo 2023. </w:t>
      </w:r>
    </w:p>
    <w:p w14:paraId="04630DF5" w14:textId="77777777" w:rsidR="00386B5A" w:rsidRDefault="00386B5A" w:rsidP="00386B5A">
      <w:pPr>
        <w:tabs>
          <w:tab w:val="left" w:pos="238"/>
        </w:tabs>
        <w:autoSpaceDE w:val="0"/>
        <w:autoSpaceDN w:val="0"/>
        <w:adjustRightInd w:val="0"/>
        <w:spacing w:after="0" w:line="240" w:lineRule="auto"/>
        <w:rPr>
          <w:rFonts w:ascii="Times New Roman" w:eastAsia="Calibri" w:hAnsi="Times New Roman" w:cs="Times New Roman"/>
          <w:b/>
          <w:bCs/>
          <w:sz w:val="24"/>
          <w:szCs w:val="24"/>
        </w:rPr>
      </w:pPr>
    </w:p>
    <w:p w14:paraId="671B28A6" w14:textId="77777777" w:rsidR="00386B5A" w:rsidRPr="002110F2" w:rsidRDefault="00386B5A" w:rsidP="00386B5A">
      <w:pPr>
        <w:tabs>
          <w:tab w:val="left" w:pos="238"/>
        </w:tabs>
        <w:autoSpaceDE w:val="0"/>
        <w:autoSpaceDN w:val="0"/>
        <w:adjustRightInd w:val="0"/>
        <w:spacing w:after="0" w:line="240" w:lineRule="auto"/>
        <w:rPr>
          <w:rFonts w:ascii="Times New Roman" w:eastAsia="Calibri" w:hAnsi="Times New Roman" w:cs="Times New Roman"/>
          <w:i/>
          <w:iCs/>
          <w:sz w:val="24"/>
          <w:szCs w:val="24"/>
        </w:rPr>
      </w:pPr>
      <w:r w:rsidRPr="002110F2">
        <w:rPr>
          <w:rFonts w:ascii="Times New Roman" w:eastAsia="Calibri" w:hAnsi="Times New Roman" w:cs="Times New Roman"/>
          <w:i/>
          <w:iCs/>
          <w:sz w:val="24"/>
          <w:szCs w:val="24"/>
        </w:rPr>
        <w:t xml:space="preserve">Obiettivo 1 </w:t>
      </w:r>
    </w:p>
    <w:p w14:paraId="17F34E6F" w14:textId="77777777" w:rsidR="00386B5A" w:rsidRDefault="00386B5A" w:rsidP="00386B5A">
      <w:pPr>
        <w:tabs>
          <w:tab w:val="left" w:pos="238"/>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Lo studio 1a coinvolgerà </w:t>
      </w:r>
      <w:r w:rsidRPr="002110F2">
        <w:rPr>
          <w:rFonts w:ascii="Times New Roman" w:eastAsia="Calibri" w:hAnsi="Times New Roman" w:cs="Times New Roman"/>
          <w:sz w:val="24"/>
          <w:szCs w:val="24"/>
        </w:rPr>
        <w:t xml:space="preserve">circa 600 studentesse del primo anno di università. Il campione è calcolato tenendo conto </w:t>
      </w:r>
      <w:r>
        <w:rPr>
          <w:rFonts w:ascii="Times New Roman" w:eastAsia="Calibri" w:hAnsi="Times New Roman" w:cs="Times New Roman"/>
          <w:sz w:val="24"/>
          <w:szCs w:val="24"/>
        </w:rPr>
        <w:t xml:space="preserve">dei </w:t>
      </w:r>
      <w:r w:rsidRPr="002110F2">
        <w:rPr>
          <w:rFonts w:ascii="Times New Roman" w:eastAsia="Calibri" w:hAnsi="Times New Roman" w:cs="Times New Roman"/>
          <w:sz w:val="24"/>
          <w:szCs w:val="24"/>
        </w:rPr>
        <w:t xml:space="preserve">vincoli dei </w:t>
      </w:r>
      <w:r>
        <w:rPr>
          <w:rFonts w:ascii="Times New Roman" w:eastAsia="Calibri" w:hAnsi="Times New Roman" w:cs="Times New Roman"/>
          <w:sz w:val="24"/>
          <w:szCs w:val="24"/>
        </w:rPr>
        <w:t xml:space="preserve">SEM </w:t>
      </w:r>
      <w:r w:rsidRPr="00ED67A5">
        <w:rPr>
          <w:rFonts w:ascii="Times New Roman" w:eastAsia="Calibri" w:hAnsi="Times New Roman" w:cs="Times New Roman"/>
          <w:sz w:val="24"/>
          <w:szCs w:val="24"/>
        </w:rPr>
        <w:t>(</w:t>
      </w:r>
      <w:proofErr w:type="spellStart"/>
      <w:r w:rsidRPr="00ED67A5">
        <w:rPr>
          <w:rFonts w:ascii="Times New Roman" w:eastAsia="Calibri" w:hAnsi="Times New Roman" w:cs="Times New Roman"/>
          <w:sz w:val="24"/>
          <w:szCs w:val="24"/>
        </w:rPr>
        <w:t>Kelloway</w:t>
      </w:r>
      <w:proofErr w:type="spellEnd"/>
      <w:r w:rsidRPr="00ED67A5">
        <w:rPr>
          <w:rFonts w:ascii="Times New Roman" w:eastAsia="Calibri" w:hAnsi="Times New Roman" w:cs="Times New Roman"/>
          <w:sz w:val="24"/>
          <w:szCs w:val="24"/>
        </w:rPr>
        <w:t>, 2015)</w:t>
      </w:r>
      <w:r>
        <w:rPr>
          <w:rFonts w:ascii="Times New Roman" w:eastAsia="Calibri" w:hAnsi="Times New Roman" w:cs="Times New Roman"/>
          <w:sz w:val="24"/>
          <w:szCs w:val="24"/>
        </w:rPr>
        <w:t xml:space="preserve"> e che è prevista una perdita di partecipanti di circa </w:t>
      </w:r>
      <w:r w:rsidRPr="007A3277">
        <w:rPr>
          <w:rFonts w:ascii="Times New Roman" w:eastAsia="Calibri" w:hAnsi="Times New Roman" w:cs="Times New Roman"/>
          <w:sz w:val="24"/>
          <w:szCs w:val="24"/>
        </w:rPr>
        <w:t xml:space="preserve">il 20% tra </w:t>
      </w:r>
      <w:r>
        <w:rPr>
          <w:rFonts w:ascii="Times New Roman" w:eastAsia="Calibri" w:hAnsi="Times New Roman" w:cs="Times New Roman"/>
          <w:sz w:val="24"/>
          <w:szCs w:val="24"/>
        </w:rPr>
        <w:t>lo studio 1a e 1b. Le partecipanti compileranno</w:t>
      </w:r>
      <w:r w:rsidRPr="00B70D13">
        <w:rPr>
          <w:rFonts w:ascii="Times New Roman" w:eastAsia="Calibri" w:hAnsi="Times New Roman" w:cs="Times New Roman"/>
          <w:sz w:val="24"/>
          <w:szCs w:val="24"/>
        </w:rPr>
        <w:t xml:space="preserve"> un questionario online. Innanzitutto, verrà chiesto di riportare dati socio-anagrafici, tra cui status socio-economico della famiglia (</w:t>
      </w:r>
      <w:proofErr w:type="spellStart"/>
      <w:r w:rsidRPr="00B70D13">
        <w:rPr>
          <w:rFonts w:ascii="Times New Roman" w:eastAsia="Calibri" w:hAnsi="Times New Roman" w:cs="Times New Roman"/>
          <w:sz w:val="24"/>
          <w:szCs w:val="24"/>
        </w:rPr>
        <w:t>Mastari</w:t>
      </w:r>
      <w:proofErr w:type="spellEnd"/>
      <w:r w:rsidRPr="00B70D13">
        <w:rPr>
          <w:rFonts w:ascii="Times New Roman" w:eastAsia="Calibri" w:hAnsi="Times New Roman" w:cs="Times New Roman"/>
          <w:sz w:val="24"/>
          <w:szCs w:val="24"/>
        </w:rPr>
        <w:t xml:space="preserve"> et al. 2019) e contesti di vita passati e presenti</w:t>
      </w:r>
      <w:r>
        <w:rPr>
          <w:rFonts w:ascii="Times New Roman" w:eastAsia="Calibri" w:hAnsi="Times New Roman" w:cs="Times New Roman"/>
          <w:sz w:val="24"/>
          <w:szCs w:val="24"/>
        </w:rPr>
        <w:t xml:space="preserve"> (che verranno poi</w:t>
      </w:r>
      <w:r w:rsidRPr="00B70D13">
        <w:rPr>
          <w:rFonts w:ascii="Times New Roman" w:eastAsia="Calibri" w:hAnsi="Times New Roman" w:cs="Times New Roman"/>
          <w:sz w:val="24"/>
          <w:szCs w:val="24"/>
        </w:rPr>
        <w:t xml:space="preserve"> ricodificati secondo le linee</w:t>
      </w:r>
      <w:r w:rsidRPr="00636C48">
        <w:rPr>
          <w:rFonts w:ascii="Times New Roman" w:eastAsia="Calibri" w:hAnsi="Times New Roman" w:cs="Times New Roman"/>
          <w:sz w:val="24"/>
          <w:szCs w:val="24"/>
        </w:rPr>
        <w:t xml:space="preserve"> guida Eurostat </w:t>
      </w:r>
      <w:r>
        <w:rPr>
          <w:rFonts w:ascii="Times New Roman" w:eastAsia="Calibri" w:hAnsi="Times New Roman" w:cs="Times New Roman"/>
          <w:sz w:val="24"/>
          <w:szCs w:val="24"/>
        </w:rPr>
        <w:t>in</w:t>
      </w:r>
      <w:r w:rsidRPr="00636C48">
        <w:rPr>
          <w:rFonts w:ascii="Times New Roman" w:eastAsia="Calibri" w:hAnsi="Times New Roman" w:cs="Times New Roman"/>
          <w:sz w:val="24"/>
          <w:szCs w:val="24"/>
        </w:rPr>
        <w:t xml:space="preserve"> “Città”</w:t>
      </w:r>
      <w:r>
        <w:rPr>
          <w:rFonts w:ascii="Times New Roman" w:eastAsia="Calibri" w:hAnsi="Times New Roman" w:cs="Times New Roman"/>
          <w:sz w:val="24"/>
          <w:szCs w:val="24"/>
        </w:rPr>
        <w:t>,</w:t>
      </w:r>
      <w:r w:rsidRPr="00636C48">
        <w:rPr>
          <w:rFonts w:ascii="Times New Roman" w:eastAsia="Calibri" w:hAnsi="Times New Roman" w:cs="Times New Roman"/>
          <w:sz w:val="24"/>
          <w:szCs w:val="24"/>
        </w:rPr>
        <w:t xml:space="preserve"> “Piccole città e sobborghi”</w:t>
      </w:r>
      <w:r>
        <w:rPr>
          <w:rFonts w:ascii="Times New Roman" w:eastAsia="Calibri" w:hAnsi="Times New Roman" w:cs="Times New Roman"/>
          <w:sz w:val="24"/>
          <w:szCs w:val="24"/>
        </w:rPr>
        <w:t xml:space="preserve">, </w:t>
      </w:r>
      <w:r w:rsidRPr="00636C48">
        <w:rPr>
          <w:rFonts w:ascii="Times New Roman" w:eastAsia="Calibri" w:hAnsi="Times New Roman" w:cs="Times New Roman"/>
          <w:sz w:val="24"/>
          <w:szCs w:val="24"/>
        </w:rPr>
        <w:t>“Zone rurali”</w:t>
      </w:r>
      <w:r>
        <w:rPr>
          <w:rFonts w:ascii="Times New Roman" w:eastAsia="Calibri" w:hAnsi="Times New Roman" w:cs="Times New Roman"/>
          <w:sz w:val="24"/>
          <w:szCs w:val="24"/>
        </w:rPr>
        <w:t xml:space="preserve">). </w:t>
      </w:r>
      <w:r w:rsidRPr="000660E7">
        <w:rPr>
          <w:rFonts w:ascii="Times New Roman" w:eastAsia="Calibri" w:hAnsi="Times New Roman" w:cs="Times New Roman"/>
          <w:sz w:val="24"/>
          <w:szCs w:val="24"/>
          <w:highlight w:val="yellow"/>
        </w:rPr>
        <w:t xml:space="preserve"> </w:t>
      </w:r>
    </w:p>
    <w:p w14:paraId="6C14C1E7" w14:textId="77777777" w:rsidR="00386B5A" w:rsidRPr="00DB2A50" w:rsidRDefault="00386B5A" w:rsidP="00386B5A">
      <w:pPr>
        <w:tabs>
          <w:tab w:val="left" w:pos="238"/>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Seguiranno</w:t>
      </w:r>
      <w:r w:rsidRPr="00D51BAA">
        <w:rPr>
          <w:rFonts w:ascii="Times New Roman" w:eastAsia="Calibri" w:hAnsi="Times New Roman" w:cs="Times New Roman"/>
          <w:sz w:val="24"/>
          <w:szCs w:val="24"/>
        </w:rPr>
        <w:t xml:space="preserve"> scale standardizzate che misurano </w:t>
      </w:r>
      <w:r>
        <w:rPr>
          <w:rFonts w:ascii="Times New Roman" w:eastAsia="Calibri" w:hAnsi="Times New Roman" w:cs="Times New Roman"/>
          <w:sz w:val="24"/>
          <w:szCs w:val="24"/>
        </w:rPr>
        <w:t>la sessualizzazione interiorizzata (</w:t>
      </w:r>
      <w:r w:rsidRPr="00C137C6">
        <w:rPr>
          <w:rFonts w:ascii="Times New Roman" w:eastAsia="Calibri" w:hAnsi="Times New Roman" w:cs="Times New Roman"/>
          <w:sz w:val="24"/>
          <w:szCs w:val="24"/>
        </w:rPr>
        <w:t xml:space="preserve">Ward, </w:t>
      </w:r>
      <w:r>
        <w:rPr>
          <w:rFonts w:ascii="Times New Roman" w:eastAsia="Calibri" w:hAnsi="Times New Roman" w:cs="Times New Roman"/>
          <w:sz w:val="24"/>
          <w:szCs w:val="24"/>
        </w:rPr>
        <w:t xml:space="preserve">2016), </w:t>
      </w:r>
      <w:r w:rsidRPr="000660E7">
        <w:rPr>
          <w:rFonts w:ascii="Times New Roman" w:eastAsia="Calibri" w:hAnsi="Times New Roman" w:cs="Times New Roman"/>
          <w:sz w:val="24"/>
          <w:szCs w:val="24"/>
        </w:rPr>
        <w:t xml:space="preserve">la condivisione delle norme tradizionali di femminilità </w:t>
      </w:r>
      <w:r>
        <w:rPr>
          <w:rFonts w:ascii="Times New Roman" w:eastAsia="Calibri" w:hAnsi="Times New Roman" w:cs="Times New Roman"/>
          <w:sz w:val="24"/>
          <w:szCs w:val="24"/>
        </w:rPr>
        <w:t xml:space="preserve">e mascolinità </w:t>
      </w:r>
      <w:r w:rsidRPr="000660E7">
        <w:rPr>
          <w:rFonts w:ascii="Times New Roman" w:eastAsia="Calibri" w:hAnsi="Times New Roman" w:cs="Times New Roman"/>
          <w:sz w:val="24"/>
          <w:szCs w:val="24"/>
        </w:rPr>
        <w:t xml:space="preserve">(Parent &amp; </w:t>
      </w:r>
      <w:proofErr w:type="spellStart"/>
      <w:r w:rsidRPr="000660E7">
        <w:rPr>
          <w:rFonts w:ascii="Times New Roman" w:eastAsia="Calibri" w:hAnsi="Times New Roman" w:cs="Times New Roman"/>
          <w:sz w:val="24"/>
          <w:szCs w:val="24"/>
        </w:rPr>
        <w:t>Moradi</w:t>
      </w:r>
      <w:proofErr w:type="spellEnd"/>
      <w:r w:rsidRPr="000660E7">
        <w:rPr>
          <w:rFonts w:ascii="Times New Roman" w:eastAsia="Calibri" w:hAnsi="Times New Roman" w:cs="Times New Roman"/>
          <w:sz w:val="24"/>
          <w:szCs w:val="24"/>
        </w:rPr>
        <w:t>, 2010</w:t>
      </w:r>
      <w:r>
        <w:rPr>
          <w:rFonts w:ascii="Times New Roman" w:eastAsia="Calibri" w:hAnsi="Times New Roman" w:cs="Times New Roman"/>
          <w:sz w:val="24"/>
          <w:szCs w:val="24"/>
        </w:rPr>
        <w:t xml:space="preserve">; </w:t>
      </w:r>
      <w:proofErr w:type="spellStart"/>
      <w:r w:rsidRPr="00442232">
        <w:rPr>
          <w:rFonts w:ascii="Times New Roman" w:eastAsia="Calibri" w:hAnsi="Times New Roman" w:cs="Times New Roman"/>
          <w:sz w:val="24"/>
          <w:szCs w:val="24"/>
        </w:rPr>
        <w:t>Levant</w:t>
      </w:r>
      <w:proofErr w:type="spellEnd"/>
      <w:r w:rsidRPr="00442232">
        <w:rPr>
          <w:rFonts w:ascii="Times New Roman" w:eastAsia="Calibri" w:hAnsi="Times New Roman" w:cs="Times New Roman"/>
          <w:sz w:val="24"/>
          <w:szCs w:val="24"/>
        </w:rPr>
        <w:t xml:space="preserve"> et al. 2007</w:t>
      </w:r>
      <w:r>
        <w:rPr>
          <w:rFonts w:ascii="Times New Roman" w:eastAsia="Calibri" w:hAnsi="Times New Roman" w:cs="Times New Roman"/>
          <w:sz w:val="24"/>
          <w:szCs w:val="24"/>
        </w:rPr>
        <w:t xml:space="preserve">) e </w:t>
      </w:r>
      <w:r w:rsidRPr="00D51BAA">
        <w:rPr>
          <w:rFonts w:ascii="Times New Roman" w:eastAsia="Calibri" w:hAnsi="Times New Roman" w:cs="Times New Roman"/>
          <w:sz w:val="24"/>
          <w:szCs w:val="24"/>
        </w:rPr>
        <w:t xml:space="preserve">il sessismo </w:t>
      </w:r>
      <w:r>
        <w:rPr>
          <w:rFonts w:ascii="Times New Roman" w:eastAsia="Calibri" w:hAnsi="Times New Roman" w:cs="Times New Roman"/>
          <w:sz w:val="24"/>
          <w:szCs w:val="24"/>
        </w:rPr>
        <w:t>benevolo</w:t>
      </w:r>
      <w:r w:rsidRPr="00D51BAA">
        <w:rPr>
          <w:rFonts w:ascii="Times New Roman" w:eastAsia="Calibri" w:hAnsi="Times New Roman" w:cs="Times New Roman"/>
          <w:sz w:val="24"/>
          <w:szCs w:val="24"/>
        </w:rPr>
        <w:t xml:space="preserve"> (</w:t>
      </w:r>
      <w:proofErr w:type="spellStart"/>
      <w:r w:rsidRPr="00D51BAA">
        <w:rPr>
          <w:rFonts w:ascii="Times New Roman" w:eastAsia="Calibri" w:hAnsi="Times New Roman" w:cs="Times New Roman"/>
          <w:sz w:val="24"/>
          <w:szCs w:val="24"/>
        </w:rPr>
        <w:t>Glick</w:t>
      </w:r>
      <w:proofErr w:type="spellEnd"/>
      <w:r w:rsidRPr="00D51BAA">
        <w:rPr>
          <w:rFonts w:ascii="Times New Roman" w:eastAsia="Calibri" w:hAnsi="Times New Roman" w:cs="Times New Roman"/>
          <w:sz w:val="24"/>
          <w:szCs w:val="24"/>
        </w:rPr>
        <w:t xml:space="preserve"> &amp; </w:t>
      </w:r>
      <w:proofErr w:type="spellStart"/>
      <w:r w:rsidRPr="00D51BAA">
        <w:rPr>
          <w:rFonts w:ascii="Times New Roman" w:eastAsia="Calibri" w:hAnsi="Times New Roman" w:cs="Times New Roman"/>
          <w:sz w:val="24"/>
          <w:szCs w:val="24"/>
        </w:rPr>
        <w:t>Fiske</w:t>
      </w:r>
      <w:proofErr w:type="spellEnd"/>
      <w:r w:rsidRPr="00D51BAA">
        <w:rPr>
          <w:rFonts w:ascii="Times New Roman" w:eastAsia="Calibri" w:hAnsi="Times New Roman" w:cs="Times New Roman"/>
          <w:sz w:val="24"/>
          <w:szCs w:val="24"/>
        </w:rPr>
        <w:t>, 1996</w:t>
      </w:r>
      <w:r>
        <w:rPr>
          <w:rFonts w:ascii="Times New Roman" w:eastAsia="Calibri" w:hAnsi="Times New Roman" w:cs="Times New Roman"/>
          <w:sz w:val="24"/>
          <w:szCs w:val="24"/>
        </w:rPr>
        <w:t xml:space="preserve">). </w:t>
      </w:r>
    </w:p>
    <w:p w14:paraId="735FA2FE" w14:textId="77777777" w:rsidR="00386B5A" w:rsidRDefault="00386B5A" w:rsidP="00386B5A">
      <w:pPr>
        <w:tabs>
          <w:tab w:val="left" w:pos="238"/>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Per misurare la percezione di rischio, alle </w:t>
      </w:r>
      <w:r w:rsidRPr="00D51BAA">
        <w:rPr>
          <w:rFonts w:ascii="Times New Roman" w:eastAsia="Calibri" w:hAnsi="Times New Roman" w:cs="Times New Roman"/>
          <w:sz w:val="24"/>
          <w:szCs w:val="24"/>
        </w:rPr>
        <w:t xml:space="preserve">partecipanti </w:t>
      </w:r>
      <w:r>
        <w:rPr>
          <w:rFonts w:ascii="Times New Roman" w:eastAsia="Calibri" w:hAnsi="Times New Roman" w:cs="Times New Roman"/>
          <w:sz w:val="24"/>
          <w:szCs w:val="24"/>
        </w:rPr>
        <w:t>sarà presentata la descrizione di una</w:t>
      </w:r>
      <w:r w:rsidRPr="00D51BAA">
        <w:rPr>
          <w:rFonts w:ascii="Times New Roman" w:eastAsia="Calibri" w:hAnsi="Times New Roman" w:cs="Times New Roman"/>
          <w:sz w:val="24"/>
          <w:szCs w:val="24"/>
        </w:rPr>
        <w:t xml:space="preserve"> situazione in cui dovranno immedesimar</w:t>
      </w:r>
      <w:r>
        <w:rPr>
          <w:rFonts w:ascii="Times New Roman" w:eastAsia="Calibri" w:hAnsi="Times New Roman" w:cs="Times New Roman"/>
          <w:sz w:val="24"/>
          <w:szCs w:val="24"/>
        </w:rPr>
        <w:t>si (</w:t>
      </w:r>
      <w:proofErr w:type="spellStart"/>
      <w:r w:rsidRPr="00D51BAA">
        <w:rPr>
          <w:rFonts w:ascii="Times New Roman" w:eastAsia="Calibri" w:hAnsi="Times New Roman" w:cs="Times New Roman"/>
          <w:sz w:val="24"/>
          <w:szCs w:val="24"/>
        </w:rPr>
        <w:t>Messman</w:t>
      </w:r>
      <w:proofErr w:type="spellEnd"/>
      <w:r w:rsidRPr="00D51BAA">
        <w:rPr>
          <w:rFonts w:ascii="Times New Roman" w:eastAsia="Calibri" w:hAnsi="Times New Roman" w:cs="Times New Roman"/>
          <w:sz w:val="24"/>
          <w:szCs w:val="24"/>
        </w:rPr>
        <w:t>-Moore e Brown</w:t>
      </w:r>
      <w:r>
        <w:rPr>
          <w:rFonts w:ascii="Times New Roman" w:eastAsia="Calibri" w:hAnsi="Times New Roman" w:cs="Times New Roman"/>
          <w:sz w:val="24"/>
          <w:szCs w:val="24"/>
        </w:rPr>
        <w:t xml:space="preserve">, </w:t>
      </w:r>
      <w:r w:rsidRPr="00D51BAA">
        <w:rPr>
          <w:rFonts w:ascii="Times New Roman" w:eastAsia="Calibri" w:hAnsi="Times New Roman" w:cs="Times New Roman"/>
          <w:sz w:val="24"/>
          <w:szCs w:val="24"/>
        </w:rPr>
        <w:t>2006)</w:t>
      </w:r>
      <w:r>
        <w:rPr>
          <w:rFonts w:ascii="Times New Roman" w:eastAsia="Calibri" w:hAnsi="Times New Roman" w:cs="Times New Roman"/>
          <w:sz w:val="24"/>
          <w:szCs w:val="24"/>
        </w:rPr>
        <w:t xml:space="preserve">. Le situazioni sono già state da noi </w:t>
      </w:r>
      <w:proofErr w:type="spellStart"/>
      <w:r>
        <w:rPr>
          <w:rFonts w:ascii="Times New Roman" w:eastAsia="Calibri" w:hAnsi="Times New Roman" w:cs="Times New Roman"/>
          <w:sz w:val="24"/>
          <w:szCs w:val="24"/>
        </w:rPr>
        <w:t>pre</w:t>
      </w:r>
      <w:proofErr w:type="spellEnd"/>
      <w:r>
        <w:rPr>
          <w:rFonts w:ascii="Times New Roman" w:eastAsia="Calibri" w:hAnsi="Times New Roman" w:cs="Times New Roman"/>
          <w:sz w:val="24"/>
          <w:szCs w:val="24"/>
        </w:rPr>
        <w:t>-testate per il contesto italiano</w:t>
      </w:r>
      <w:r w:rsidRPr="00D51B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Entrambe descrivono l’incontro tra una ragazza e un ragazzo e prevedono </w:t>
      </w:r>
      <w:r w:rsidRPr="00D51BAA">
        <w:rPr>
          <w:rFonts w:ascii="Times New Roman" w:eastAsia="Calibri" w:hAnsi="Times New Roman" w:cs="Times New Roman"/>
          <w:sz w:val="24"/>
          <w:szCs w:val="24"/>
        </w:rPr>
        <w:t xml:space="preserve">25 passaggi con una lenta escalation </w:t>
      </w:r>
      <w:r>
        <w:rPr>
          <w:rFonts w:ascii="Times New Roman" w:eastAsia="Calibri" w:hAnsi="Times New Roman" w:cs="Times New Roman"/>
          <w:sz w:val="24"/>
          <w:szCs w:val="24"/>
        </w:rPr>
        <w:t>da</w:t>
      </w:r>
      <w:r w:rsidRPr="00D51BAA">
        <w:rPr>
          <w:rFonts w:ascii="Times New Roman" w:eastAsia="Calibri" w:hAnsi="Times New Roman" w:cs="Times New Roman"/>
          <w:sz w:val="24"/>
          <w:szCs w:val="24"/>
        </w:rPr>
        <w:t xml:space="preserve"> un flirt alla violenza sessuale. </w:t>
      </w:r>
      <w:r>
        <w:rPr>
          <w:rFonts w:ascii="Times New Roman" w:eastAsia="Calibri" w:hAnsi="Times New Roman" w:cs="Times New Roman"/>
          <w:sz w:val="24"/>
          <w:szCs w:val="24"/>
        </w:rPr>
        <w:t>Le</w:t>
      </w:r>
      <w:r w:rsidRPr="00D51BAA">
        <w:rPr>
          <w:rFonts w:ascii="Times New Roman" w:eastAsia="Calibri" w:hAnsi="Times New Roman" w:cs="Times New Roman"/>
          <w:sz w:val="24"/>
          <w:szCs w:val="24"/>
        </w:rPr>
        <w:t xml:space="preserve"> partecipanti </w:t>
      </w:r>
      <w:r>
        <w:rPr>
          <w:rFonts w:ascii="Times New Roman" w:eastAsia="Calibri" w:hAnsi="Times New Roman" w:cs="Times New Roman"/>
          <w:sz w:val="24"/>
          <w:szCs w:val="24"/>
        </w:rPr>
        <w:t>dovranno</w:t>
      </w:r>
      <w:r w:rsidRPr="00D51BAA">
        <w:rPr>
          <w:rFonts w:ascii="Times New Roman" w:eastAsia="Calibri" w:hAnsi="Times New Roman" w:cs="Times New Roman"/>
          <w:sz w:val="24"/>
          <w:szCs w:val="24"/>
        </w:rPr>
        <w:t xml:space="preserve"> indicare in quale passaggio iniziano a sentirsi a disagio e in quale abbandonerebbero la </w:t>
      </w:r>
      <w:r w:rsidRPr="004A26E7">
        <w:rPr>
          <w:rFonts w:ascii="Times New Roman" w:eastAsia="Calibri" w:hAnsi="Times New Roman" w:cs="Times New Roman"/>
          <w:sz w:val="24"/>
          <w:szCs w:val="24"/>
        </w:rPr>
        <w:t>situazione. In ultimo, verrà misurata l’esperienza di molestie sessuali eventualmente subite (</w:t>
      </w:r>
      <w:proofErr w:type="spellStart"/>
      <w:r w:rsidRPr="004A26E7">
        <w:rPr>
          <w:rFonts w:ascii="Times New Roman" w:eastAsia="Calibri" w:hAnsi="Times New Roman" w:cs="Times New Roman"/>
          <w:sz w:val="24"/>
          <w:szCs w:val="24"/>
        </w:rPr>
        <w:t>Espelage</w:t>
      </w:r>
      <w:proofErr w:type="spellEnd"/>
      <w:r w:rsidRPr="004A26E7">
        <w:rPr>
          <w:rFonts w:ascii="Times New Roman" w:eastAsia="Calibri" w:hAnsi="Times New Roman" w:cs="Times New Roman"/>
          <w:sz w:val="24"/>
          <w:szCs w:val="24"/>
        </w:rPr>
        <w:t xml:space="preserve"> et al. 2016). Vista</w:t>
      </w:r>
      <w:r>
        <w:rPr>
          <w:rFonts w:ascii="Times New Roman" w:eastAsia="Calibri" w:hAnsi="Times New Roman" w:cs="Times New Roman"/>
          <w:sz w:val="24"/>
          <w:szCs w:val="24"/>
        </w:rPr>
        <w:t xml:space="preserve"> la delicatezza della tematica, v</w:t>
      </w:r>
      <w:r w:rsidRPr="00D51BAA">
        <w:rPr>
          <w:rFonts w:ascii="Times New Roman" w:eastAsia="Calibri" w:hAnsi="Times New Roman" w:cs="Times New Roman"/>
          <w:sz w:val="24"/>
          <w:szCs w:val="24"/>
        </w:rPr>
        <w:t xml:space="preserve">errà lasciato uno </w:t>
      </w:r>
      <w:r>
        <w:rPr>
          <w:rFonts w:ascii="Times New Roman" w:eastAsia="Calibri" w:hAnsi="Times New Roman" w:cs="Times New Roman"/>
          <w:sz w:val="24"/>
          <w:szCs w:val="24"/>
        </w:rPr>
        <w:t>spazio “</w:t>
      </w:r>
      <w:r w:rsidRPr="00D51BAA">
        <w:rPr>
          <w:rFonts w:ascii="Times New Roman" w:eastAsia="Calibri" w:hAnsi="Times New Roman" w:cs="Times New Roman"/>
          <w:sz w:val="24"/>
          <w:szCs w:val="24"/>
        </w:rPr>
        <w:t>commenti</w:t>
      </w:r>
      <w:r>
        <w:rPr>
          <w:rFonts w:ascii="Times New Roman" w:eastAsia="Calibri" w:hAnsi="Times New Roman" w:cs="Times New Roman"/>
          <w:sz w:val="24"/>
          <w:szCs w:val="24"/>
        </w:rPr>
        <w:t xml:space="preserve"> o richieste” e verranno fornite informazioni su servizi di aiuto.</w:t>
      </w:r>
      <w:r w:rsidRPr="00D51BAA" w:rsidDel="00BD54FC">
        <w:rPr>
          <w:rFonts w:ascii="Times New Roman" w:eastAsia="Calibri" w:hAnsi="Times New Roman" w:cs="Times New Roman"/>
          <w:sz w:val="24"/>
          <w:szCs w:val="24"/>
        </w:rPr>
        <w:t xml:space="preserve"> </w:t>
      </w:r>
    </w:p>
    <w:p w14:paraId="36FCCFA7" w14:textId="77777777" w:rsidR="00386B5A" w:rsidRDefault="00386B5A" w:rsidP="00386B5A">
      <w:pPr>
        <w:tabs>
          <w:tab w:val="left" w:pos="238"/>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Ipotizziamo che maggiore interiorizzazione della sessualizzazione, maggiore adesione alle norme di genere e maggiore sessismo benevolo si associno a</w:t>
      </w:r>
      <w:r w:rsidRPr="0021105B">
        <w:rPr>
          <w:rFonts w:ascii="Times New Roman" w:eastAsia="Calibri" w:hAnsi="Times New Roman" w:cs="Times New Roman"/>
          <w:sz w:val="24"/>
          <w:szCs w:val="24"/>
        </w:rPr>
        <w:t xml:space="preserve"> maggior</w:t>
      </w:r>
      <w:r>
        <w:rPr>
          <w:rFonts w:ascii="Times New Roman" w:eastAsia="Calibri" w:hAnsi="Times New Roman" w:cs="Times New Roman"/>
          <w:sz w:val="24"/>
          <w:szCs w:val="24"/>
        </w:rPr>
        <w:t>i</w:t>
      </w:r>
      <w:r w:rsidRPr="0021105B">
        <w:rPr>
          <w:rFonts w:ascii="Times New Roman" w:eastAsia="Calibri" w:hAnsi="Times New Roman" w:cs="Times New Roman"/>
          <w:sz w:val="24"/>
          <w:szCs w:val="24"/>
        </w:rPr>
        <w:t xml:space="preserve"> difficoltà a riconoscere i segnali </w:t>
      </w:r>
      <w:r>
        <w:rPr>
          <w:rFonts w:ascii="Times New Roman" w:eastAsia="Calibri" w:hAnsi="Times New Roman" w:cs="Times New Roman"/>
          <w:sz w:val="24"/>
          <w:szCs w:val="24"/>
        </w:rPr>
        <w:t>di rischio di violenza nelle situazioni presentate. Ci aspettiamo che il luogo in cui le partecipanti vivono/hanno vissuto moderi questi effetti, per cui le ragazze provenienti da un contesto meno urbanizzato dovrebbero condividere maggiormente le norme tradizionali di genere, avere maggiori livelli di sessismo e quindi avere più difficoltà a riconoscere il rischio.</w:t>
      </w:r>
    </w:p>
    <w:p w14:paraId="1BB70A5E" w14:textId="77777777" w:rsidR="00386B5A" w:rsidRDefault="00386B5A" w:rsidP="00386B5A">
      <w:pPr>
        <w:tabs>
          <w:tab w:val="left" w:pos="238"/>
        </w:tabs>
        <w:autoSpaceDE w:val="0"/>
        <w:autoSpaceDN w:val="0"/>
        <w:adjustRightInd w:val="0"/>
        <w:spacing w:after="0" w:line="240" w:lineRule="auto"/>
        <w:rPr>
          <w:rFonts w:ascii="Times New Roman" w:eastAsia="Calibri" w:hAnsi="Times New Roman" w:cs="Times New Roman"/>
          <w:sz w:val="24"/>
          <w:szCs w:val="24"/>
        </w:rPr>
      </w:pPr>
    </w:p>
    <w:p w14:paraId="581583AD" w14:textId="77777777" w:rsidR="00386B5A" w:rsidRPr="00404207" w:rsidRDefault="00386B5A" w:rsidP="00386B5A">
      <w:pPr>
        <w:tabs>
          <w:tab w:val="left" w:pos="238"/>
        </w:tabs>
        <w:autoSpaceDE w:val="0"/>
        <w:autoSpaceDN w:val="0"/>
        <w:adjustRightInd w:val="0"/>
        <w:spacing w:after="0" w:line="240" w:lineRule="auto"/>
        <w:rPr>
          <w:rFonts w:ascii="Times New Roman" w:eastAsia="Calibri" w:hAnsi="Times New Roman" w:cs="Times New Roman"/>
          <w:i/>
          <w:iCs/>
          <w:sz w:val="24"/>
          <w:szCs w:val="24"/>
        </w:rPr>
      </w:pPr>
      <w:r w:rsidRPr="00404207">
        <w:rPr>
          <w:rFonts w:ascii="Times New Roman" w:eastAsia="Calibri" w:hAnsi="Times New Roman" w:cs="Times New Roman"/>
          <w:i/>
          <w:iCs/>
          <w:sz w:val="24"/>
          <w:szCs w:val="24"/>
        </w:rPr>
        <w:t>Obiettivo 2</w:t>
      </w:r>
    </w:p>
    <w:p w14:paraId="4C696148" w14:textId="77777777" w:rsidR="00386B5A" w:rsidRDefault="00386B5A" w:rsidP="00386B5A">
      <w:pPr>
        <w:tabs>
          <w:tab w:val="left" w:pos="238"/>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Lo studio 1b coinvolgerà le partecipanti allo studio 1a che acconsentiranno a partecipare alla seconda parte della ricerca e misurerà le stesse variabili. In più verrà richiesto </w:t>
      </w:r>
      <w:r w:rsidRPr="004963F6">
        <w:rPr>
          <w:rFonts w:ascii="Times New Roman" w:eastAsia="Calibri" w:hAnsi="Times New Roman" w:cs="Times New Roman"/>
          <w:sz w:val="24"/>
          <w:szCs w:val="24"/>
        </w:rPr>
        <w:t>di riportare eventuali esperienze di molestie intercorse nei 6 mesi precedenti (</w:t>
      </w:r>
      <w:proofErr w:type="spellStart"/>
      <w:r w:rsidRPr="004963F6">
        <w:rPr>
          <w:rFonts w:ascii="Times New Roman" w:eastAsia="Calibri" w:hAnsi="Times New Roman" w:cs="Times New Roman"/>
          <w:sz w:val="24"/>
          <w:szCs w:val="24"/>
        </w:rPr>
        <w:t>Espelage</w:t>
      </w:r>
      <w:proofErr w:type="spellEnd"/>
      <w:r w:rsidRPr="004963F6">
        <w:rPr>
          <w:rFonts w:ascii="Times New Roman" w:eastAsia="Calibri" w:hAnsi="Times New Roman" w:cs="Times New Roman"/>
          <w:sz w:val="24"/>
          <w:szCs w:val="24"/>
        </w:rPr>
        <w:t xml:space="preserve"> et al.2016). Ci aspettiamo</w:t>
      </w:r>
      <w:r>
        <w:rPr>
          <w:rFonts w:ascii="Times New Roman" w:eastAsia="Calibri" w:hAnsi="Times New Roman" w:cs="Times New Roman"/>
          <w:sz w:val="24"/>
          <w:szCs w:val="24"/>
        </w:rPr>
        <w:t xml:space="preserve"> che le partecipanti cono maggiori difficoltà a riconoscere il rischio nello studio 1a riporteranno maggiori esperienze di molestie a distanza di 6 mesi. Inoltre, i</w:t>
      </w:r>
      <w:r w:rsidRPr="001F6DA8">
        <w:rPr>
          <w:rFonts w:ascii="Times New Roman" w:eastAsia="Calibri" w:hAnsi="Times New Roman" w:cs="Times New Roman"/>
          <w:sz w:val="24"/>
          <w:szCs w:val="24"/>
        </w:rPr>
        <w:t xml:space="preserve">n </w:t>
      </w:r>
      <w:r w:rsidRPr="00B53815">
        <w:rPr>
          <w:rFonts w:ascii="Times New Roman" w:eastAsia="Calibri" w:hAnsi="Times New Roman" w:cs="Times New Roman"/>
          <w:sz w:val="24"/>
          <w:szCs w:val="24"/>
        </w:rPr>
        <w:t>linea con evidenze raccolte nell’ambito della psicologia dello sviluppo (</w:t>
      </w:r>
      <w:r w:rsidRPr="005C6E76">
        <w:rPr>
          <w:rFonts w:ascii="Times New Roman" w:eastAsia="Calibri" w:hAnsi="Times New Roman" w:cs="Times New Roman"/>
          <w:sz w:val="24"/>
          <w:szCs w:val="24"/>
        </w:rPr>
        <w:t>Shearer et al. 2005</w:t>
      </w:r>
      <w:r w:rsidRPr="001F6DA8">
        <w:rPr>
          <w:rFonts w:ascii="Times New Roman" w:eastAsia="Calibri" w:hAnsi="Times New Roman" w:cs="Times New Roman"/>
          <w:sz w:val="24"/>
          <w:szCs w:val="24"/>
        </w:rPr>
        <w:t>) e</w:t>
      </w:r>
      <w:r w:rsidRPr="00B53815">
        <w:rPr>
          <w:rFonts w:ascii="Times New Roman" w:eastAsia="Calibri" w:hAnsi="Times New Roman" w:cs="Times New Roman"/>
          <w:sz w:val="24"/>
          <w:szCs w:val="24"/>
        </w:rPr>
        <w:t xml:space="preserve"> della sociologia (King et al. 2011), </w:t>
      </w:r>
      <w:r w:rsidRPr="005C6E76">
        <w:rPr>
          <w:rFonts w:ascii="Times New Roman" w:eastAsia="Calibri" w:hAnsi="Times New Roman" w:cs="Times New Roman"/>
          <w:sz w:val="24"/>
          <w:szCs w:val="24"/>
        </w:rPr>
        <w:t>ci aspettiamo che</w:t>
      </w:r>
      <w:r w:rsidRPr="001F6DA8">
        <w:rPr>
          <w:rFonts w:ascii="Times New Roman" w:eastAsia="Calibri" w:hAnsi="Times New Roman" w:cs="Times New Roman"/>
          <w:sz w:val="24"/>
          <w:szCs w:val="24"/>
        </w:rPr>
        <w:t xml:space="preserve"> la socializzazione universitaria diminuisca l</w:t>
      </w:r>
      <w:r>
        <w:rPr>
          <w:rFonts w:ascii="Times New Roman" w:eastAsia="Calibri" w:hAnsi="Times New Roman" w:cs="Times New Roman"/>
          <w:sz w:val="24"/>
          <w:szCs w:val="24"/>
        </w:rPr>
        <w:t xml:space="preserve">’adesione alle ideologie sessiste e la sessualizzazione interiorizzata </w:t>
      </w:r>
      <w:r w:rsidRPr="00700BF4">
        <w:rPr>
          <w:rFonts w:ascii="Times New Roman" w:eastAsia="Calibri" w:hAnsi="Times New Roman" w:cs="Times New Roman"/>
          <w:sz w:val="24"/>
          <w:szCs w:val="24"/>
        </w:rPr>
        <w:t>e che</w:t>
      </w:r>
      <w:r>
        <w:rPr>
          <w:rFonts w:ascii="Times New Roman" w:eastAsia="Calibri" w:hAnsi="Times New Roman" w:cs="Times New Roman"/>
          <w:sz w:val="24"/>
          <w:szCs w:val="24"/>
        </w:rPr>
        <w:t xml:space="preserve"> tale cambiamento si associ a maggiore riconoscimento del rischio e minore esperienza effettiva di molestie o abuso. </w:t>
      </w:r>
    </w:p>
    <w:p w14:paraId="01C5F468" w14:textId="77777777" w:rsidR="00386B5A" w:rsidRDefault="00386B5A" w:rsidP="00386B5A">
      <w:pPr>
        <w:tabs>
          <w:tab w:val="left" w:pos="238"/>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23DE6D1" w14:textId="77777777" w:rsidR="00386B5A" w:rsidRPr="00763D1A" w:rsidRDefault="00386B5A" w:rsidP="00386B5A">
      <w:pPr>
        <w:tabs>
          <w:tab w:val="left" w:pos="238"/>
        </w:tabs>
        <w:autoSpaceDE w:val="0"/>
        <w:autoSpaceDN w:val="0"/>
        <w:adjustRightInd w:val="0"/>
        <w:spacing w:after="0" w:line="240" w:lineRule="auto"/>
        <w:rPr>
          <w:rFonts w:ascii="Times New Roman" w:eastAsia="Calibri" w:hAnsi="Times New Roman" w:cs="Times New Roman"/>
          <w:i/>
          <w:iCs/>
          <w:sz w:val="24"/>
          <w:szCs w:val="24"/>
        </w:rPr>
      </w:pPr>
      <w:r w:rsidRPr="00763D1A">
        <w:rPr>
          <w:rFonts w:ascii="Times New Roman" w:eastAsia="Calibri" w:hAnsi="Times New Roman" w:cs="Times New Roman"/>
          <w:i/>
          <w:iCs/>
          <w:sz w:val="24"/>
          <w:szCs w:val="24"/>
        </w:rPr>
        <w:t>Obiettivo 3</w:t>
      </w:r>
    </w:p>
    <w:p w14:paraId="3BCC99C6" w14:textId="77777777" w:rsidR="00386B5A" w:rsidRDefault="00386B5A" w:rsidP="00386B5A">
      <w:pPr>
        <w:tabs>
          <w:tab w:val="left" w:pos="238"/>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Lo studio 2 avrà lo scopo di testare le medesime ipotesi dello studio 1a con un metodo sperimentale.  Verrà cercato, appositamente modificato e </w:t>
      </w:r>
      <w:proofErr w:type="spellStart"/>
      <w:r>
        <w:rPr>
          <w:rFonts w:ascii="Times New Roman" w:eastAsia="Calibri" w:hAnsi="Times New Roman" w:cs="Times New Roman"/>
          <w:sz w:val="24"/>
          <w:szCs w:val="24"/>
        </w:rPr>
        <w:t>pre</w:t>
      </w:r>
      <w:proofErr w:type="spellEnd"/>
      <w:r>
        <w:rPr>
          <w:rFonts w:ascii="Times New Roman" w:eastAsia="Calibri" w:hAnsi="Times New Roman" w:cs="Times New Roman"/>
          <w:sz w:val="24"/>
          <w:szCs w:val="24"/>
        </w:rPr>
        <w:t xml:space="preserve">-testato materiale stimolo sotto forma di meme o post di Instagram che trasmetta una concezione sessualizzata della donna e dei rapporti tra i sessi. Le partecipanti saranno circa 80 (campione calcolato con G*Power) studentesse universitarie. Tramite un questionario online saranno loro mostrati 2 meme e 2 post di Instagram </w:t>
      </w:r>
      <w:r w:rsidRPr="000C63A4">
        <w:rPr>
          <w:rFonts w:ascii="Times New Roman" w:eastAsia="Calibri" w:hAnsi="Times New Roman" w:cs="Times New Roman"/>
          <w:sz w:val="24"/>
          <w:szCs w:val="24"/>
        </w:rPr>
        <w:t xml:space="preserve">sessualizzati (vs. </w:t>
      </w:r>
      <w:r>
        <w:rPr>
          <w:rFonts w:ascii="Times New Roman" w:eastAsia="Calibri" w:hAnsi="Times New Roman" w:cs="Times New Roman"/>
          <w:sz w:val="24"/>
          <w:szCs w:val="24"/>
        </w:rPr>
        <w:t xml:space="preserve">meme e post neutri). Saranno poi misurati la percezione del rischio e le ideologie sessiste come nello studio 1. Verranno inoltre </w:t>
      </w:r>
      <w:r w:rsidRPr="000135A0">
        <w:rPr>
          <w:rFonts w:ascii="Times New Roman" w:eastAsia="Calibri" w:hAnsi="Times New Roman" w:cs="Times New Roman"/>
          <w:sz w:val="24"/>
          <w:szCs w:val="24"/>
        </w:rPr>
        <w:t xml:space="preserve">misurati il benessere complessivo (Diener et al., 1985) e </w:t>
      </w:r>
      <w:r>
        <w:rPr>
          <w:rFonts w:ascii="Times New Roman" w:eastAsia="Calibri" w:hAnsi="Times New Roman" w:cs="Times New Roman"/>
          <w:sz w:val="24"/>
          <w:szCs w:val="24"/>
        </w:rPr>
        <w:t>gli atteggiamenti</w:t>
      </w:r>
      <w:r w:rsidRPr="000135A0">
        <w:rPr>
          <w:rFonts w:ascii="Times New Roman" w:eastAsia="Calibri" w:hAnsi="Times New Roman" w:cs="Times New Roman"/>
          <w:sz w:val="24"/>
          <w:szCs w:val="24"/>
        </w:rPr>
        <w:t xml:space="preserve"> verso la violenza di genere (Kunst et al. 2018;</w:t>
      </w:r>
      <w:r>
        <w:rPr>
          <w:rFonts w:ascii="Times New Roman" w:eastAsia="Calibri" w:hAnsi="Times New Roman" w:cs="Times New Roman"/>
          <w:sz w:val="24"/>
          <w:szCs w:val="24"/>
        </w:rPr>
        <w:t xml:space="preserve"> </w:t>
      </w:r>
      <w:proofErr w:type="spellStart"/>
      <w:r w:rsidRPr="00DD7437">
        <w:rPr>
          <w:rFonts w:ascii="Times New Roman" w:eastAsia="Calibri" w:hAnsi="Times New Roman" w:cs="Times New Roman"/>
          <w:sz w:val="24"/>
          <w:szCs w:val="24"/>
        </w:rPr>
        <w:t>Lonsway</w:t>
      </w:r>
      <w:proofErr w:type="spellEnd"/>
      <w:r w:rsidRPr="00DD7437">
        <w:rPr>
          <w:rFonts w:ascii="Times New Roman" w:eastAsia="Calibri" w:hAnsi="Times New Roman" w:cs="Times New Roman"/>
          <w:sz w:val="24"/>
          <w:szCs w:val="24"/>
        </w:rPr>
        <w:t xml:space="preserve"> et al. 2008)</w:t>
      </w:r>
      <w:r>
        <w:rPr>
          <w:rFonts w:ascii="Times New Roman" w:eastAsia="Calibri" w:hAnsi="Times New Roman" w:cs="Times New Roman"/>
          <w:sz w:val="24"/>
          <w:szCs w:val="24"/>
        </w:rPr>
        <w:t xml:space="preserve">. Ci aspettiamo che le partecipanti che </w:t>
      </w:r>
      <w:r>
        <w:rPr>
          <w:rFonts w:ascii="Times New Roman" w:eastAsia="Calibri" w:hAnsi="Times New Roman" w:cs="Times New Roman"/>
          <w:sz w:val="24"/>
          <w:szCs w:val="24"/>
        </w:rPr>
        <w:lastRenderedPageBreak/>
        <w:t xml:space="preserve">visioneranno materiale sessualizzato riconosceranno meno precocemente il rischio. Inoltre, sulla base di evidenze precedenti secondo cui l’auto-oggettivazione e le ideologie sessiste diminuiscono il benessere e influenzano gli atteggiamenti verso la violenza di genere (e.g., </w:t>
      </w:r>
      <w:r w:rsidRPr="00DD7437">
        <w:rPr>
          <w:rFonts w:ascii="Times New Roman" w:eastAsia="Calibri" w:hAnsi="Times New Roman" w:cs="Times New Roman"/>
          <w:sz w:val="24"/>
          <w:szCs w:val="24"/>
        </w:rPr>
        <w:t>Moscatelli et al.</w:t>
      </w:r>
      <w:r>
        <w:rPr>
          <w:rFonts w:ascii="Times New Roman" w:eastAsia="Calibri" w:hAnsi="Times New Roman" w:cs="Times New Roman"/>
          <w:sz w:val="24"/>
          <w:szCs w:val="24"/>
        </w:rPr>
        <w:t xml:space="preserve">, </w:t>
      </w:r>
      <w:r w:rsidRPr="00DD7437">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ci aspettiamo che la visione di materiale sessualizzato induca maggiore tolleranza verso la violenza di genere e minor benessere complessivo. </w:t>
      </w:r>
    </w:p>
    <w:p w14:paraId="3334141A" w14:textId="77777777" w:rsidR="00386B5A" w:rsidRDefault="00386B5A" w:rsidP="00386B5A">
      <w:pPr>
        <w:tabs>
          <w:tab w:val="left" w:pos="238"/>
        </w:tabs>
        <w:autoSpaceDE w:val="0"/>
        <w:autoSpaceDN w:val="0"/>
        <w:adjustRightInd w:val="0"/>
        <w:spacing w:after="0" w:line="240" w:lineRule="auto"/>
        <w:rPr>
          <w:rFonts w:ascii="Times New Roman" w:eastAsia="Calibri" w:hAnsi="Times New Roman" w:cs="Times New Roman"/>
          <w:sz w:val="24"/>
          <w:szCs w:val="24"/>
        </w:rPr>
      </w:pPr>
    </w:p>
    <w:p w14:paraId="488A2AD4" w14:textId="63EE459E" w:rsidR="00386B5A" w:rsidRDefault="00386B5A" w:rsidP="003E097A">
      <w:pPr>
        <w:tabs>
          <w:tab w:val="left" w:pos="238"/>
        </w:tabs>
        <w:autoSpaceDE w:val="0"/>
        <w:autoSpaceDN w:val="0"/>
        <w:adjustRightInd w:val="0"/>
        <w:spacing w:after="0" w:line="240" w:lineRule="auto"/>
        <w:ind w:firstLine="709"/>
        <w:rPr>
          <w:rFonts w:ascii="Times New Roman" w:eastAsia="Calibri" w:hAnsi="Times New Roman" w:cs="Times New Roman"/>
          <w:sz w:val="24"/>
          <w:szCs w:val="24"/>
        </w:rPr>
      </w:pPr>
    </w:p>
    <w:p w14:paraId="32525D10" w14:textId="1CC90715"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6721630E" w14:textId="06E1F34B"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253F4A9B" w14:textId="081DE54B"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7DF21E92" w14:textId="4C8BCD4F"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2A503CB9" w14:textId="633643B2"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33CFF03C" w14:textId="4B400F34"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73941CD2" w14:textId="1422A9D0"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10D95E6B" w14:textId="7E07D7C7"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0DEDF43E" w14:textId="7CBFA73E"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5F7FE29E" w14:textId="4825B338"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695953CB" w14:textId="22F07488"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7DB33A74" w14:textId="5FD6650E"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3EEFC019" w14:textId="0EA95C25"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1240C1D9" w14:textId="59596378"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5549D0ED" w14:textId="0BE1083D"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5305D477" w14:textId="21B4BDF0"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2DE75876" w14:textId="1F396A28"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78AA385A" w14:textId="3540BAE6"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0F4EDA1B" w14:textId="5F11FB66"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4FE65DBB" w14:textId="53A6BB6E"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3E714566" w14:textId="1A803D1D"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44B539F5" w14:textId="777D3D39"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1AA2B004" w14:textId="6E474A1D"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3FF3315F" w14:textId="6FB9E6A5"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49D23FAD" w14:textId="21E1B3E1" w:rsid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p w14:paraId="6ABE8505" w14:textId="44D4C23E" w:rsidR="00C22A63" w:rsidRDefault="0017214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r>
        <w:rPr>
          <w:noProof/>
        </w:rPr>
        <w:lastRenderedPageBreak/>
        <w:drawing>
          <wp:inline distT="0" distB="0" distL="0" distR="0" wp14:anchorId="2E59C8EB" wp14:editId="35D07C9D">
            <wp:extent cx="6120130" cy="4638675"/>
            <wp:effectExtent l="0" t="0" r="0" b="9525"/>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638675"/>
                    </a:xfrm>
                    <a:prstGeom prst="rect">
                      <a:avLst/>
                    </a:prstGeom>
                    <a:noFill/>
                    <a:ln>
                      <a:noFill/>
                    </a:ln>
                  </pic:spPr>
                </pic:pic>
              </a:graphicData>
            </a:graphic>
          </wp:inline>
        </w:drawing>
      </w:r>
    </w:p>
    <w:p w14:paraId="28C1A79E" w14:textId="77777777" w:rsidR="00C22A63" w:rsidRPr="00C22A63" w:rsidRDefault="00C22A63" w:rsidP="003E097A">
      <w:pPr>
        <w:tabs>
          <w:tab w:val="left" w:pos="238"/>
        </w:tabs>
        <w:autoSpaceDE w:val="0"/>
        <w:autoSpaceDN w:val="0"/>
        <w:adjustRightInd w:val="0"/>
        <w:spacing w:after="0" w:line="240" w:lineRule="auto"/>
        <w:ind w:firstLine="709"/>
        <w:rPr>
          <w:rFonts w:ascii="Times New Roman" w:eastAsia="Calibri" w:hAnsi="Times New Roman" w:cs="Times New Roman"/>
          <w:b/>
          <w:bCs/>
          <w:sz w:val="24"/>
          <w:szCs w:val="24"/>
        </w:rPr>
      </w:pPr>
    </w:p>
    <w:sectPr w:rsidR="00C22A63" w:rsidRPr="00C22A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91E"/>
    <w:multiLevelType w:val="hybridMultilevel"/>
    <w:tmpl w:val="428C4654"/>
    <w:lvl w:ilvl="0" w:tplc="A56CB87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3A9532F4"/>
    <w:multiLevelType w:val="hybridMultilevel"/>
    <w:tmpl w:val="D61A3406"/>
    <w:lvl w:ilvl="0" w:tplc="1BD2B3A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DC230A2"/>
    <w:multiLevelType w:val="hybridMultilevel"/>
    <w:tmpl w:val="A9D85C4C"/>
    <w:lvl w:ilvl="0" w:tplc="946429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7532CE"/>
    <w:multiLevelType w:val="hybridMultilevel"/>
    <w:tmpl w:val="8E9EBE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964495">
    <w:abstractNumId w:val="0"/>
  </w:num>
  <w:num w:numId="2" w16cid:durableId="71707277">
    <w:abstractNumId w:val="3"/>
  </w:num>
  <w:num w:numId="3" w16cid:durableId="1563369059">
    <w:abstractNumId w:val="2"/>
  </w:num>
  <w:num w:numId="4" w16cid:durableId="1707952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E4"/>
    <w:rsid w:val="000126CD"/>
    <w:rsid w:val="000133D9"/>
    <w:rsid w:val="000352A5"/>
    <w:rsid w:val="00037671"/>
    <w:rsid w:val="000403AE"/>
    <w:rsid w:val="00054636"/>
    <w:rsid w:val="0006346B"/>
    <w:rsid w:val="00081A65"/>
    <w:rsid w:val="00092673"/>
    <w:rsid w:val="00096E79"/>
    <w:rsid w:val="000A5EF8"/>
    <w:rsid w:val="000A7CB0"/>
    <w:rsid w:val="000C6D92"/>
    <w:rsid w:val="0012614A"/>
    <w:rsid w:val="001343A7"/>
    <w:rsid w:val="00146BC9"/>
    <w:rsid w:val="00150F8C"/>
    <w:rsid w:val="00152771"/>
    <w:rsid w:val="0015603E"/>
    <w:rsid w:val="00164DA9"/>
    <w:rsid w:val="00172143"/>
    <w:rsid w:val="00175A6F"/>
    <w:rsid w:val="001767DE"/>
    <w:rsid w:val="00181237"/>
    <w:rsid w:val="0018479F"/>
    <w:rsid w:val="001A0FAA"/>
    <w:rsid w:val="001A1D10"/>
    <w:rsid w:val="00210D9E"/>
    <w:rsid w:val="00216433"/>
    <w:rsid w:val="002253B8"/>
    <w:rsid w:val="00237718"/>
    <w:rsid w:val="00255F34"/>
    <w:rsid w:val="00263128"/>
    <w:rsid w:val="0028057F"/>
    <w:rsid w:val="00292F2E"/>
    <w:rsid w:val="00297E4C"/>
    <w:rsid w:val="002A51C5"/>
    <w:rsid w:val="002A79D3"/>
    <w:rsid w:val="002B6E2D"/>
    <w:rsid w:val="002D18D6"/>
    <w:rsid w:val="002D45E5"/>
    <w:rsid w:val="002E371C"/>
    <w:rsid w:val="002E3A6D"/>
    <w:rsid w:val="0032008A"/>
    <w:rsid w:val="003275AB"/>
    <w:rsid w:val="00354567"/>
    <w:rsid w:val="003759AF"/>
    <w:rsid w:val="00377E58"/>
    <w:rsid w:val="00382FA9"/>
    <w:rsid w:val="00386B5A"/>
    <w:rsid w:val="003B35E3"/>
    <w:rsid w:val="003B3FE9"/>
    <w:rsid w:val="003B4C83"/>
    <w:rsid w:val="003D5FF0"/>
    <w:rsid w:val="003E097A"/>
    <w:rsid w:val="003E762C"/>
    <w:rsid w:val="00402E12"/>
    <w:rsid w:val="004046F2"/>
    <w:rsid w:val="004062AC"/>
    <w:rsid w:val="00410A72"/>
    <w:rsid w:val="00472C38"/>
    <w:rsid w:val="0047415B"/>
    <w:rsid w:val="00480C10"/>
    <w:rsid w:val="00491C9C"/>
    <w:rsid w:val="004C6CA2"/>
    <w:rsid w:val="004D1048"/>
    <w:rsid w:val="004D5700"/>
    <w:rsid w:val="004F03C8"/>
    <w:rsid w:val="004F28C8"/>
    <w:rsid w:val="00507B4D"/>
    <w:rsid w:val="00510184"/>
    <w:rsid w:val="00516E6B"/>
    <w:rsid w:val="00525E6C"/>
    <w:rsid w:val="0053107B"/>
    <w:rsid w:val="00560994"/>
    <w:rsid w:val="00583B0F"/>
    <w:rsid w:val="005851B8"/>
    <w:rsid w:val="00594156"/>
    <w:rsid w:val="005B237B"/>
    <w:rsid w:val="005B33FC"/>
    <w:rsid w:val="005B486F"/>
    <w:rsid w:val="005B5DBB"/>
    <w:rsid w:val="005C3BEF"/>
    <w:rsid w:val="005F0443"/>
    <w:rsid w:val="005F2849"/>
    <w:rsid w:val="005F387B"/>
    <w:rsid w:val="006036EE"/>
    <w:rsid w:val="00603AEE"/>
    <w:rsid w:val="00605D40"/>
    <w:rsid w:val="00622A9A"/>
    <w:rsid w:val="00630E45"/>
    <w:rsid w:val="00634B59"/>
    <w:rsid w:val="00650B76"/>
    <w:rsid w:val="00654C53"/>
    <w:rsid w:val="00667010"/>
    <w:rsid w:val="00674668"/>
    <w:rsid w:val="0068088E"/>
    <w:rsid w:val="00684A98"/>
    <w:rsid w:val="006A124C"/>
    <w:rsid w:val="006A33E4"/>
    <w:rsid w:val="006A3DD0"/>
    <w:rsid w:val="006C09F7"/>
    <w:rsid w:val="006C2D23"/>
    <w:rsid w:val="006D06FA"/>
    <w:rsid w:val="006F14ED"/>
    <w:rsid w:val="006F61CF"/>
    <w:rsid w:val="007063F6"/>
    <w:rsid w:val="00713C50"/>
    <w:rsid w:val="007454AF"/>
    <w:rsid w:val="00750912"/>
    <w:rsid w:val="0075590F"/>
    <w:rsid w:val="00762D1D"/>
    <w:rsid w:val="007651AC"/>
    <w:rsid w:val="007810BD"/>
    <w:rsid w:val="00781BF5"/>
    <w:rsid w:val="00783AAF"/>
    <w:rsid w:val="00790D16"/>
    <w:rsid w:val="00790DAE"/>
    <w:rsid w:val="007A501C"/>
    <w:rsid w:val="007A52E9"/>
    <w:rsid w:val="007C721F"/>
    <w:rsid w:val="007E60BF"/>
    <w:rsid w:val="007F59DF"/>
    <w:rsid w:val="00803641"/>
    <w:rsid w:val="008136A2"/>
    <w:rsid w:val="008221B3"/>
    <w:rsid w:val="008265A4"/>
    <w:rsid w:val="008272DC"/>
    <w:rsid w:val="008319E7"/>
    <w:rsid w:val="00850074"/>
    <w:rsid w:val="00866E99"/>
    <w:rsid w:val="008759A4"/>
    <w:rsid w:val="00876298"/>
    <w:rsid w:val="00876A0D"/>
    <w:rsid w:val="00890442"/>
    <w:rsid w:val="008937D0"/>
    <w:rsid w:val="008A3F63"/>
    <w:rsid w:val="008B476A"/>
    <w:rsid w:val="008B51B9"/>
    <w:rsid w:val="008E49E5"/>
    <w:rsid w:val="00905002"/>
    <w:rsid w:val="009110F2"/>
    <w:rsid w:val="009200EB"/>
    <w:rsid w:val="009248FB"/>
    <w:rsid w:val="009320D7"/>
    <w:rsid w:val="00934B7F"/>
    <w:rsid w:val="00945A1C"/>
    <w:rsid w:val="00946014"/>
    <w:rsid w:val="00947E6D"/>
    <w:rsid w:val="00952758"/>
    <w:rsid w:val="00956234"/>
    <w:rsid w:val="00966D16"/>
    <w:rsid w:val="0098498B"/>
    <w:rsid w:val="00986886"/>
    <w:rsid w:val="009A103A"/>
    <w:rsid w:val="009C300E"/>
    <w:rsid w:val="009D369F"/>
    <w:rsid w:val="009D6FAC"/>
    <w:rsid w:val="009E2327"/>
    <w:rsid w:val="009F2E6A"/>
    <w:rsid w:val="00A104F7"/>
    <w:rsid w:val="00A1644A"/>
    <w:rsid w:val="00A27208"/>
    <w:rsid w:val="00A42605"/>
    <w:rsid w:val="00A63FA4"/>
    <w:rsid w:val="00A7328C"/>
    <w:rsid w:val="00AA6DEB"/>
    <w:rsid w:val="00AC7454"/>
    <w:rsid w:val="00B06138"/>
    <w:rsid w:val="00B168EA"/>
    <w:rsid w:val="00B2366C"/>
    <w:rsid w:val="00B23E83"/>
    <w:rsid w:val="00B255D5"/>
    <w:rsid w:val="00B4277A"/>
    <w:rsid w:val="00B44BD8"/>
    <w:rsid w:val="00B81A06"/>
    <w:rsid w:val="00B838DA"/>
    <w:rsid w:val="00B8569A"/>
    <w:rsid w:val="00BA0D80"/>
    <w:rsid w:val="00BA1068"/>
    <w:rsid w:val="00BC069D"/>
    <w:rsid w:val="00BC15A1"/>
    <w:rsid w:val="00BE1854"/>
    <w:rsid w:val="00C07563"/>
    <w:rsid w:val="00C22A63"/>
    <w:rsid w:val="00C31F73"/>
    <w:rsid w:val="00C4366C"/>
    <w:rsid w:val="00C62DC0"/>
    <w:rsid w:val="00C83414"/>
    <w:rsid w:val="00C9734E"/>
    <w:rsid w:val="00CA34AE"/>
    <w:rsid w:val="00CB32FB"/>
    <w:rsid w:val="00CB5BBE"/>
    <w:rsid w:val="00CF0CD6"/>
    <w:rsid w:val="00D00938"/>
    <w:rsid w:val="00D01531"/>
    <w:rsid w:val="00D027FD"/>
    <w:rsid w:val="00D05363"/>
    <w:rsid w:val="00D3534F"/>
    <w:rsid w:val="00D371FC"/>
    <w:rsid w:val="00D44697"/>
    <w:rsid w:val="00D53846"/>
    <w:rsid w:val="00D60F07"/>
    <w:rsid w:val="00D7048A"/>
    <w:rsid w:val="00D86866"/>
    <w:rsid w:val="00D96F69"/>
    <w:rsid w:val="00DA4ACA"/>
    <w:rsid w:val="00DB1696"/>
    <w:rsid w:val="00DC4AE4"/>
    <w:rsid w:val="00DC7784"/>
    <w:rsid w:val="00DE3318"/>
    <w:rsid w:val="00DE334A"/>
    <w:rsid w:val="00DE5855"/>
    <w:rsid w:val="00DF5739"/>
    <w:rsid w:val="00E00F4F"/>
    <w:rsid w:val="00E076C8"/>
    <w:rsid w:val="00E15D69"/>
    <w:rsid w:val="00E17C0C"/>
    <w:rsid w:val="00E423D9"/>
    <w:rsid w:val="00E568DD"/>
    <w:rsid w:val="00E6085A"/>
    <w:rsid w:val="00E6116B"/>
    <w:rsid w:val="00E64338"/>
    <w:rsid w:val="00E81426"/>
    <w:rsid w:val="00E94378"/>
    <w:rsid w:val="00EA70F4"/>
    <w:rsid w:val="00EB7CF3"/>
    <w:rsid w:val="00EC0322"/>
    <w:rsid w:val="00EC3431"/>
    <w:rsid w:val="00EC4565"/>
    <w:rsid w:val="00EC624F"/>
    <w:rsid w:val="00EE0B24"/>
    <w:rsid w:val="00EE13E7"/>
    <w:rsid w:val="00EE343D"/>
    <w:rsid w:val="00F074B5"/>
    <w:rsid w:val="00F07E1E"/>
    <w:rsid w:val="00F276AC"/>
    <w:rsid w:val="00F339F9"/>
    <w:rsid w:val="00F34277"/>
    <w:rsid w:val="00F41C6B"/>
    <w:rsid w:val="00F84A08"/>
    <w:rsid w:val="00F87DF1"/>
    <w:rsid w:val="00F92149"/>
    <w:rsid w:val="00F93AB0"/>
    <w:rsid w:val="00F955B2"/>
    <w:rsid w:val="00FA59B7"/>
    <w:rsid w:val="00FA7D2E"/>
    <w:rsid w:val="00FB6A15"/>
    <w:rsid w:val="00FE0E16"/>
    <w:rsid w:val="00FE38FF"/>
    <w:rsid w:val="00FE459B"/>
    <w:rsid w:val="00FE6DAE"/>
    <w:rsid w:val="00FF3237"/>
    <w:rsid w:val="00FF4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AF1F"/>
  <w15:chartTrackingRefBased/>
  <w15:docId w15:val="{45E52906-E061-426D-BFCA-8CB44D5E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4A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unhideWhenUsed/>
    <w:rsid w:val="00DC4AE4"/>
    <w:rPr>
      <w:sz w:val="16"/>
      <w:szCs w:val="16"/>
    </w:rPr>
  </w:style>
  <w:style w:type="paragraph" w:styleId="Testocommento">
    <w:name w:val="annotation text"/>
    <w:basedOn w:val="Normale"/>
    <w:link w:val="TestocommentoCarattere"/>
    <w:uiPriority w:val="99"/>
    <w:unhideWhenUsed/>
    <w:rsid w:val="00DC4AE4"/>
    <w:rPr>
      <w:rFonts w:ascii="Arial" w:eastAsia="Calibri" w:hAnsi="Arial" w:cs="Times New Roman"/>
      <w:sz w:val="20"/>
      <w:szCs w:val="20"/>
    </w:rPr>
  </w:style>
  <w:style w:type="character" w:customStyle="1" w:styleId="TestocommentoCarattere">
    <w:name w:val="Testo commento Carattere"/>
    <w:basedOn w:val="Carpredefinitoparagrafo"/>
    <w:link w:val="Testocommento"/>
    <w:uiPriority w:val="99"/>
    <w:rsid w:val="00DC4AE4"/>
    <w:rPr>
      <w:rFonts w:ascii="Arial" w:eastAsia="Calibri" w:hAnsi="Arial" w:cs="Times New Roman"/>
      <w:sz w:val="20"/>
      <w:szCs w:val="20"/>
    </w:rPr>
  </w:style>
  <w:style w:type="character" w:customStyle="1" w:styleId="markedcontent">
    <w:name w:val="markedcontent"/>
    <w:basedOn w:val="Carpredefinitoparagrafo"/>
    <w:rsid w:val="00DC4AE4"/>
  </w:style>
  <w:style w:type="paragraph" w:styleId="Paragrafoelenco">
    <w:name w:val="List Paragraph"/>
    <w:basedOn w:val="Normale"/>
    <w:uiPriority w:val="34"/>
    <w:qFormat/>
    <w:rsid w:val="002D45E5"/>
    <w:pPr>
      <w:ind w:left="720"/>
      <w:contextualSpacing/>
    </w:pPr>
  </w:style>
  <w:style w:type="paragraph" w:styleId="Soggettocommento">
    <w:name w:val="annotation subject"/>
    <w:basedOn w:val="Testocommento"/>
    <w:next w:val="Testocommento"/>
    <w:link w:val="SoggettocommentoCarattere"/>
    <w:uiPriority w:val="99"/>
    <w:semiHidden/>
    <w:unhideWhenUsed/>
    <w:rsid w:val="00150F8C"/>
    <w:pPr>
      <w:spacing w:line="240" w:lineRule="auto"/>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150F8C"/>
    <w:rPr>
      <w:rFonts w:ascii="Arial" w:eastAsia="Calibri" w:hAnsi="Arial" w:cs="Times New Roman"/>
      <w:b/>
      <w:bCs/>
      <w:sz w:val="20"/>
      <w:szCs w:val="20"/>
    </w:rPr>
  </w:style>
  <w:style w:type="paragraph" w:styleId="Revisione">
    <w:name w:val="Revision"/>
    <w:hidden/>
    <w:uiPriority w:val="99"/>
    <w:semiHidden/>
    <w:rsid w:val="00890442"/>
    <w:pPr>
      <w:spacing w:after="0" w:line="240" w:lineRule="auto"/>
    </w:pPr>
  </w:style>
  <w:style w:type="paragraph" w:customStyle="1" w:styleId="pf0">
    <w:name w:val="pf0"/>
    <w:basedOn w:val="Normale"/>
    <w:rsid w:val="009D6F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D6FAC"/>
    <w:rPr>
      <w:rFonts w:ascii="Segoe UI" w:hAnsi="Segoe UI" w:cs="Segoe UI" w:hint="default"/>
      <w:sz w:val="18"/>
      <w:szCs w:val="18"/>
    </w:rPr>
  </w:style>
  <w:style w:type="paragraph" w:customStyle="1" w:styleId="xmsolistparagraph">
    <w:name w:val="x_msolistparagraph"/>
    <w:basedOn w:val="Normale"/>
    <w:rsid w:val="00386B5A"/>
    <w:pPr>
      <w:spacing w:after="0" w:line="240" w:lineRule="auto"/>
      <w:ind w:left="720"/>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5301">
      <w:bodyDiv w:val="1"/>
      <w:marLeft w:val="0"/>
      <w:marRight w:val="0"/>
      <w:marTop w:val="0"/>
      <w:marBottom w:val="0"/>
      <w:divBdr>
        <w:top w:val="none" w:sz="0" w:space="0" w:color="auto"/>
        <w:left w:val="none" w:sz="0" w:space="0" w:color="auto"/>
        <w:bottom w:val="none" w:sz="0" w:space="0" w:color="auto"/>
        <w:right w:val="none" w:sz="0" w:space="0" w:color="auto"/>
      </w:divBdr>
    </w:div>
    <w:div w:id="828788493">
      <w:bodyDiv w:val="1"/>
      <w:marLeft w:val="0"/>
      <w:marRight w:val="0"/>
      <w:marTop w:val="0"/>
      <w:marBottom w:val="0"/>
      <w:divBdr>
        <w:top w:val="none" w:sz="0" w:space="0" w:color="auto"/>
        <w:left w:val="none" w:sz="0" w:space="0" w:color="auto"/>
        <w:bottom w:val="none" w:sz="0" w:space="0" w:color="auto"/>
        <w:right w:val="none" w:sz="0" w:space="0" w:color="auto"/>
      </w:divBdr>
    </w:div>
    <w:div w:id="1041250970">
      <w:bodyDiv w:val="1"/>
      <w:marLeft w:val="0"/>
      <w:marRight w:val="0"/>
      <w:marTop w:val="0"/>
      <w:marBottom w:val="0"/>
      <w:divBdr>
        <w:top w:val="none" w:sz="0" w:space="0" w:color="auto"/>
        <w:left w:val="none" w:sz="0" w:space="0" w:color="auto"/>
        <w:bottom w:val="none" w:sz="0" w:space="0" w:color="auto"/>
        <w:right w:val="none" w:sz="0" w:space="0" w:color="auto"/>
      </w:divBdr>
    </w:div>
    <w:div w:id="2136019662">
      <w:bodyDiv w:val="1"/>
      <w:marLeft w:val="0"/>
      <w:marRight w:val="0"/>
      <w:marTop w:val="0"/>
      <w:marBottom w:val="0"/>
      <w:divBdr>
        <w:top w:val="none" w:sz="0" w:space="0" w:color="auto"/>
        <w:left w:val="none" w:sz="0" w:space="0" w:color="auto"/>
        <w:bottom w:val="none" w:sz="0" w:space="0" w:color="auto"/>
        <w:right w:val="none" w:sz="0" w:space="0" w:color="auto"/>
      </w:divBdr>
      <w:divsChild>
        <w:div w:id="616301748">
          <w:marLeft w:val="0"/>
          <w:marRight w:val="0"/>
          <w:marTop w:val="0"/>
          <w:marBottom w:val="0"/>
          <w:divBdr>
            <w:top w:val="none" w:sz="0" w:space="0" w:color="auto"/>
            <w:left w:val="none" w:sz="0" w:space="0" w:color="auto"/>
            <w:bottom w:val="none" w:sz="0" w:space="0" w:color="auto"/>
            <w:right w:val="none" w:sz="0" w:space="0" w:color="auto"/>
          </w:divBdr>
          <w:divsChild>
            <w:div w:id="917060276">
              <w:marLeft w:val="0"/>
              <w:marRight w:val="0"/>
              <w:marTop w:val="0"/>
              <w:marBottom w:val="0"/>
              <w:divBdr>
                <w:top w:val="none" w:sz="0" w:space="0" w:color="auto"/>
                <w:left w:val="none" w:sz="0" w:space="0" w:color="auto"/>
                <w:bottom w:val="none" w:sz="0" w:space="0" w:color="auto"/>
                <w:right w:val="none" w:sz="0" w:space="0" w:color="auto"/>
              </w:divBdr>
              <w:divsChild>
                <w:div w:id="1551041682">
                  <w:marLeft w:val="0"/>
                  <w:marRight w:val="0"/>
                  <w:marTop w:val="0"/>
                  <w:marBottom w:val="0"/>
                  <w:divBdr>
                    <w:top w:val="none" w:sz="0" w:space="0" w:color="auto"/>
                    <w:left w:val="none" w:sz="0" w:space="0" w:color="auto"/>
                    <w:bottom w:val="none" w:sz="0" w:space="0" w:color="auto"/>
                    <w:right w:val="none" w:sz="0" w:space="0" w:color="auto"/>
                  </w:divBdr>
                </w:div>
                <w:div w:id="18386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1301</Words>
  <Characters>7422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Menegatti</dc:creator>
  <cp:keywords/>
  <dc:description/>
  <cp:lastModifiedBy>Michela Menegatti</cp:lastModifiedBy>
  <cp:revision>25</cp:revision>
  <dcterms:created xsi:type="dcterms:W3CDTF">2022-04-10T09:30:00Z</dcterms:created>
  <dcterms:modified xsi:type="dcterms:W3CDTF">2022-07-06T09:06:00Z</dcterms:modified>
</cp:coreProperties>
</file>